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738619">
      <w:pPr>
        <w:keepNext w:val="0"/>
        <w:keepLines w:val="0"/>
        <w:pageBreakBefore w:val="0"/>
        <w:kinsoku/>
        <w:wordWrap/>
        <w:overflowPunct/>
        <w:topLinePunct w:val="0"/>
        <w:autoSpaceDE/>
        <w:autoSpaceDN/>
        <w:bidi w:val="0"/>
        <w:spacing w:line="520" w:lineRule="exact"/>
        <w:jc w:val="center"/>
        <w:textAlignment w:val="auto"/>
        <w:outlineLvl w:val="0"/>
        <w:rPr>
          <w:rFonts w:hint="eastAsia" w:ascii="方正小标宋简体" w:hAnsi="方正小标宋简体" w:eastAsia="方正小标宋简体" w:cs="方正小标宋简体"/>
          <w:b w:val="0"/>
          <w:bCs/>
          <w:color w:val="auto"/>
          <w:sz w:val="44"/>
          <w:szCs w:val="44"/>
          <w:highlight w:val="none"/>
          <w:lang w:val="en-US" w:eastAsia="zh-CN"/>
        </w:rPr>
      </w:pPr>
      <w:r>
        <w:rPr>
          <w:rFonts w:hint="eastAsia" w:ascii="方正小标宋简体" w:hAnsi="方正小标宋简体" w:eastAsia="方正小标宋简体" w:cs="方正小标宋简体"/>
          <w:b w:val="0"/>
          <w:bCs/>
          <w:color w:val="auto"/>
          <w:sz w:val="44"/>
          <w:szCs w:val="44"/>
          <w:highlight w:val="none"/>
          <w:lang w:val="en-US" w:eastAsia="zh-CN"/>
        </w:rPr>
        <w:t>庐阳区2024年</w:t>
      </w:r>
      <w:r>
        <w:rPr>
          <w:rFonts w:hint="eastAsia" w:ascii="方正小标宋简体" w:hAnsi="方正小标宋简体" w:eastAsia="方正小标宋简体" w:cs="方正小标宋简体"/>
          <w:b w:val="0"/>
          <w:bCs/>
          <w:color w:val="auto"/>
          <w:sz w:val="44"/>
          <w:szCs w:val="44"/>
          <w:highlight w:val="none"/>
          <w:lang w:val="en" w:eastAsia="zh"/>
        </w:rPr>
        <w:t>行政村（社区）运动会赛事执行服务采购招标</w:t>
      </w:r>
      <w:r>
        <w:rPr>
          <w:rFonts w:hint="eastAsia" w:ascii="方正小标宋简体" w:hAnsi="方正小标宋简体" w:eastAsia="方正小标宋简体" w:cs="方正小标宋简体"/>
          <w:b w:val="0"/>
          <w:bCs/>
          <w:color w:val="auto"/>
          <w:sz w:val="44"/>
          <w:szCs w:val="44"/>
          <w:highlight w:val="none"/>
          <w:lang w:val="en-US" w:eastAsia="zh-CN"/>
        </w:rPr>
        <w:t>文件</w:t>
      </w:r>
    </w:p>
    <w:p w14:paraId="42B9C5E7">
      <w:pPr>
        <w:keepNext w:val="0"/>
        <w:keepLines w:val="0"/>
        <w:pageBreakBefore w:val="0"/>
        <w:kinsoku/>
        <w:wordWrap/>
        <w:overflowPunct/>
        <w:topLinePunct w:val="0"/>
        <w:autoSpaceDE/>
        <w:autoSpaceDN/>
        <w:bidi w:val="0"/>
        <w:spacing w:line="520" w:lineRule="exact"/>
        <w:ind w:firstLine="437"/>
        <w:textAlignment w:val="auto"/>
        <w:rPr>
          <w:rFonts w:hint="eastAsia" w:asciiTheme="minorEastAsia" w:hAnsiTheme="minorEastAsia" w:eastAsiaTheme="minorEastAsia" w:cstheme="minorEastAsia"/>
          <w:color w:val="auto"/>
          <w:sz w:val="24"/>
          <w:szCs w:val="24"/>
          <w:highlight w:val="none"/>
        </w:rPr>
      </w:pPr>
    </w:p>
    <w:p w14:paraId="4A5C89DC">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i w:val="0"/>
          <w:iCs w:val="0"/>
          <w:caps w:val="0"/>
          <w:color w:val="000000"/>
          <w:spacing w:val="0"/>
          <w:kern w:val="0"/>
          <w:sz w:val="32"/>
          <w:szCs w:val="32"/>
          <w:highlight w:val="none"/>
          <w:shd w:val="clear" w:fill="FFFFFF"/>
          <w:lang w:val="en-US" w:eastAsia="zh-CN" w:bidi="ar"/>
        </w:rPr>
      </w:pPr>
      <w:r>
        <w:rPr>
          <w:rFonts w:hint="eastAsia" w:ascii="黑体" w:hAnsi="黑体" w:eastAsia="黑体" w:cs="黑体"/>
          <w:i w:val="0"/>
          <w:iCs w:val="0"/>
          <w:caps w:val="0"/>
          <w:color w:val="000000"/>
          <w:spacing w:val="0"/>
          <w:kern w:val="0"/>
          <w:sz w:val="32"/>
          <w:szCs w:val="32"/>
          <w:highlight w:val="none"/>
          <w:shd w:val="clear" w:fill="FFFFFF"/>
          <w:lang w:val="en-US" w:eastAsia="zh-CN" w:bidi="ar"/>
        </w:rPr>
        <w:t>一、项目概况</w:t>
      </w:r>
    </w:p>
    <w:p w14:paraId="5FA5E907">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highlight w:val="none"/>
          <w:shd w:val="clear" w:fill="FFFFFF"/>
          <w:lang w:eastAsia="zh-CN"/>
        </w:rPr>
      </w:pPr>
      <w:r>
        <w:rPr>
          <w:rFonts w:hint="eastAsia" w:ascii="仿宋_GB2312" w:hAnsi="仿宋_GB2312" w:eastAsia="仿宋_GB2312" w:cs="仿宋_GB2312"/>
          <w:i w:val="0"/>
          <w:iCs w:val="0"/>
          <w:caps w:val="0"/>
          <w:color w:val="000000"/>
          <w:spacing w:val="0"/>
          <w:sz w:val="32"/>
          <w:szCs w:val="32"/>
          <w:highlight w:val="none"/>
          <w:shd w:val="clear" w:fill="FFFFFF"/>
        </w:rPr>
        <w:t>为认真落实《庐阳区全民健身计划(2021-2025年)》和省市、区快乐健身行动，推动全民健身运动深入开展，让快乐健身融入生活，成为常态，全民享有。根据2024年全区体育工作安排，2024年各乡镇、街道继续举办行政村</w:t>
      </w:r>
      <w:r>
        <w:rPr>
          <w:rFonts w:hint="eastAsia" w:ascii="仿宋_GB2312" w:hAnsi="仿宋_GB2312" w:eastAsia="仿宋_GB2312" w:cs="仿宋_GB2312"/>
          <w:i w:val="0"/>
          <w:iCs w:val="0"/>
          <w:caps w:val="0"/>
          <w:color w:val="000000"/>
          <w:spacing w:val="0"/>
          <w:sz w:val="32"/>
          <w:szCs w:val="32"/>
          <w:highlight w:val="none"/>
          <w:shd w:val="clear" w:fill="FFFFFF"/>
          <w:lang w:eastAsia="zh-CN"/>
        </w:rPr>
        <w:t>（</w:t>
      </w:r>
      <w:r>
        <w:rPr>
          <w:rFonts w:hint="eastAsia" w:ascii="仿宋_GB2312" w:hAnsi="仿宋_GB2312" w:eastAsia="仿宋_GB2312" w:cs="仿宋_GB2312"/>
          <w:i w:val="0"/>
          <w:iCs w:val="0"/>
          <w:caps w:val="0"/>
          <w:color w:val="000000"/>
          <w:spacing w:val="0"/>
          <w:sz w:val="32"/>
          <w:szCs w:val="32"/>
          <w:highlight w:val="none"/>
          <w:shd w:val="clear" w:fill="FFFFFF"/>
        </w:rPr>
        <w:t>社区</w:t>
      </w:r>
      <w:r>
        <w:rPr>
          <w:rFonts w:hint="eastAsia" w:ascii="仿宋_GB2312" w:hAnsi="仿宋_GB2312" w:eastAsia="仿宋_GB2312" w:cs="仿宋_GB2312"/>
          <w:i w:val="0"/>
          <w:iCs w:val="0"/>
          <w:caps w:val="0"/>
          <w:color w:val="000000"/>
          <w:spacing w:val="0"/>
          <w:sz w:val="32"/>
          <w:szCs w:val="32"/>
          <w:highlight w:val="none"/>
          <w:shd w:val="clear" w:fill="FFFFFF"/>
          <w:lang w:eastAsia="zh-CN"/>
        </w:rPr>
        <w:t>）</w:t>
      </w:r>
      <w:r>
        <w:rPr>
          <w:rFonts w:hint="eastAsia" w:ascii="仿宋_GB2312" w:hAnsi="仿宋_GB2312" w:eastAsia="仿宋_GB2312" w:cs="仿宋_GB2312"/>
          <w:i w:val="0"/>
          <w:iCs w:val="0"/>
          <w:caps w:val="0"/>
          <w:color w:val="000000"/>
          <w:spacing w:val="0"/>
          <w:sz w:val="32"/>
          <w:szCs w:val="32"/>
          <w:highlight w:val="none"/>
          <w:shd w:val="clear" w:fill="FFFFFF"/>
        </w:rPr>
        <w:t>运动会。</w:t>
      </w:r>
    </w:p>
    <w:p w14:paraId="626243EA">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i w:val="0"/>
          <w:iCs w:val="0"/>
          <w:caps w:val="0"/>
          <w:color w:val="000000"/>
          <w:spacing w:val="0"/>
          <w:kern w:val="0"/>
          <w:sz w:val="32"/>
          <w:szCs w:val="32"/>
          <w:highlight w:val="none"/>
          <w:shd w:val="clear" w:fill="FFFFFF"/>
          <w:lang w:val="en-US" w:eastAsia="zh-CN" w:bidi="ar"/>
        </w:rPr>
      </w:pPr>
      <w:r>
        <w:rPr>
          <w:rFonts w:hint="eastAsia" w:ascii="黑体" w:hAnsi="黑体" w:eastAsia="黑体" w:cs="黑体"/>
          <w:i w:val="0"/>
          <w:iCs w:val="0"/>
          <w:caps w:val="0"/>
          <w:color w:val="000000"/>
          <w:spacing w:val="0"/>
          <w:kern w:val="0"/>
          <w:sz w:val="32"/>
          <w:szCs w:val="32"/>
          <w:highlight w:val="none"/>
          <w:shd w:val="clear" w:fill="FFFFFF"/>
          <w:lang w:val="en-US" w:eastAsia="zh-CN" w:bidi="ar"/>
        </w:rPr>
        <w:t>二、采购人</w:t>
      </w:r>
    </w:p>
    <w:p w14:paraId="7A3BCA7A">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庐阳区教育体育局</w:t>
      </w:r>
      <w:r>
        <w:rPr>
          <w:rFonts w:hint="eastAsia" w:ascii="仿宋_GB2312" w:hAnsi="仿宋_GB2312" w:eastAsia="仿宋_GB2312" w:cs="仿宋_GB2312"/>
          <w:color w:val="000000"/>
          <w:sz w:val="32"/>
          <w:szCs w:val="32"/>
          <w:highlight w:val="none"/>
        </w:rPr>
        <w:t xml:space="preserve">  </w:t>
      </w:r>
    </w:p>
    <w:p w14:paraId="60CCE424">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highlight w:val="none"/>
          <w:shd w:val="clear" w:fill="FFFFFF"/>
          <w:lang w:val="en-US" w:eastAsia="zh-CN" w:bidi="ar"/>
        </w:rPr>
      </w:pPr>
      <w:r>
        <w:rPr>
          <w:rFonts w:hint="eastAsia" w:ascii="仿宋_GB2312" w:hAnsi="仿宋_GB2312" w:eastAsia="仿宋_GB2312" w:cs="仿宋_GB2312"/>
          <w:color w:val="000000"/>
          <w:sz w:val="32"/>
          <w:szCs w:val="32"/>
          <w:highlight w:val="none"/>
        </w:rPr>
        <w:t>联系人：</w:t>
      </w:r>
      <w:r>
        <w:rPr>
          <w:rFonts w:hint="eastAsia" w:ascii="仿宋_GB2312" w:hAnsi="仿宋_GB2312" w:eastAsia="仿宋_GB2312" w:cs="仿宋_GB2312"/>
          <w:color w:val="000000"/>
          <w:sz w:val="32"/>
          <w:szCs w:val="32"/>
          <w:highlight w:val="none"/>
          <w:lang w:val="en-US" w:eastAsia="zh-CN"/>
        </w:rPr>
        <w:t>曹老师</w:t>
      </w:r>
      <w:r>
        <w:rPr>
          <w:rFonts w:hint="eastAsia" w:ascii="仿宋_GB2312" w:hAnsi="仿宋_GB2312" w:eastAsia="仿宋_GB2312" w:cs="仿宋_GB2312"/>
          <w:color w:val="000000"/>
          <w:sz w:val="32"/>
          <w:szCs w:val="32"/>
          <w:highlight w:val="none"/>
        </w:rPr>
        <w:t>，电话：</w:t>
      </w:r>
      <w:r>
        <w:rPr>
          <w:rFonts w:hint="eastAsia" w:ascii="仿宋_GB2312" w:hAnsi="仿宋_GB2312" w:eastAsia="仿宋_GB2312" w:cs="仿宋_GB2312"/>
          <w:color w:val="000000"/>
          <w:sz w:val="32"/>
          <w:szCs w:val="32"/>
          <w:highlight w:val="none"/>
          <w:lang w:val="en-US" w:eastAsia="zh-CN"/>
        </w:rPr>
        <w:t>0551-65699985</w:t>
      </w:r>
      <w:r>
        <w:rPr>
          <w:rFonts w:hint="eastAsia" w:ascii="仿宋_GB2312" w:hAnsi="仿宋_GB2312" w:eastAsia="仿宋_GB2312" w:cs="仿宋_GB2312"/>
          <w:color w:val="000000"/>
          <w:sz w:val="32"/>
          <w:szCs w:val="32"/>
          <w:highlight w:val="none"/>
        </w:rPr>
        <w:t>。</w:t>
      </w:r>
    </w:p>
    <w:p w14:paraId="7A77CF3D">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i w:val="0"/>
          <w:iCs w:val="0"/>
          <w:caps w:val="0"/>
          <w:color w:val="000000"/>
          <w:spacing w:val="0"/>
          <w:kern w:val="0"/>
          <w:sz w:val="32"/>
          <w:szCs w:val="32"/>
          <w:highlight w:val="none"/>
          <w:shd w:val="clear" w:fill="FFFFFF"/>
          <w:lang w:val="en-US" w:eastAsia="zh-CN" w:bidi="ar"/>
        </w:rPr>
      </w:pPr>
      <w:r>
        <w:rPr>
          <w:rFonts w:hint="eastAsia" w:ascii="黑体" w:hAnsi="黑体" w:eastAsia="黑体" w:cs="黑体"/>
          <w:i w:val="0"/>
          <w:iCs w:val="0"/>
          <w:caps w:val="0"/>
          <w:color w:val="000000"/>
          <w:spacing w:val="0"/>
          <w:kern w:val="0"/>
          <w:sz w:val="32"/>
          <w:szCs w:val="32"/>
          <w:highlight w:val="none"/>
          <w:shd w:val="clear" w:fill="FFFFFF"/>
          <w:lang w:val="en-US" w:eastAsia="zh-CN" w:bidi="ar"/>
        </w:rPr>
        <w:t>三、投标人资格</w:t>
      </w:r>
    </w:p>
    <w:p w14:paraId="48D064AF">
      <w:pPr>
        <w:keepNext w:val="0"/>
        <w:keepLines w:val="0"/>
        <w:pageBreakBefore w:val="0"/>
        <w:kinsoku/>
        <w:wordWrap/>
        <w:overflowPunct/>
        <w:topLinePunct w:val="0"/>
        <w:autoSpaceDE/>
        <w:autoSpaceDN/>
        <w:bidi w:val="0"/>
        <w:spacing w:line="520" w:lineRule="exact"/>
        <w:ind w:firstLine="640" w:firstLineChars="200"/>
        <w:jc w:val="both"/>
        <w:textAlignment w:val="auto"/>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一</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符合《</w:t>
      </w:r>
      <w:r>
        <w:rPr>
          <w:rFonts w:hint="eastAsia" w:ascii="仿宋_GB2312" w:hAnsi="仿宋_GB2312" w:eastAsia="仿宋_GB2312" w:cs="仿宋_GB2312"/>
          <w:color w:val="000000"/>
          <w:sz w:val="32"/>
          <w:szCs w:val="32"/>
          <w:highlight w:val="none"/>
          <w:lang w:eastAsia="zh-CN"/>
        </w:rPr>
        <w:t>中华人民共和国</w:t>
      </w:r>
      <w:r>
        <w:rPr>
          <w:rFonts w:hint="eastAsia" w:ascii="仿宋_GB2312" w:hAnsi="仿宋_GB2312" w:eastAsia="仿宋_GB2312" w:cs="仿宋_GB2312"/>
          <w:color w:val="000000"/>
          <w:sz w:val="32"/>
          <w:szCs w:val="32"/>
          <w:highlight w:val="none"/>
        </w:rPr>
        <w:t>政府采购法》要求；</w:t>
      </w:r>
    </w:p>
    <w:p w14:paraId="4A0510E3">
      <w:pPr>
        <w:keepNext w:val="0"/>
        <w:keepLines w:val="0"/>
        <w:pageBreakBefore w:val="0"/>
        <w:kinsoku/>
        <w:wordWrap/>
        <w:overflowPunct/>
        <w:topLinePunct w:val="0"/>
        <w:autoSpaceDE/>
        <w:autoSpaceDN/>
        <w:bidi w:val="0"/>
        <w:spacing w:line="520" w:lineRule="exact"/>
        <w:ind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二</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投标方须是经工商、民政等行政部门注册的企业或社会团体（需提供营业执照或社会团体法人证书等复印件）。</w:t>
      </w:r>
    </w:p>
    <w:p w14:paraId="257517E5">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i w:val="0"/>
          <w:iCs w:val="0"/>
          <w:caps w:val="0"/>
          <w:color w:val="000000"/>
          <w:spacing w:val="0"/>
          <w:kern w:val="0"/>
          <w:sz w:val="32"/>
          <w:szCs w:val="32"/>
          <w:highlight w:val="none"/>
          <w:shd w:val="clear" w:fill="FFFFFF"/>
          <w:lang w:val="en-US" w:eastAsia="zh-CN" w:bidi="ar"/>
        </w:rPr>
      </w:pPr>
      <w:r>
        <w:rPr>
          <w:rFonts w:hint="eastAsia" w:ascii="黑体" w:hAnsi="黑体" w:eastAsia="黑体" w:cs="黑体"/>
          <w:i w:val="0"/>
          <w:iCs w:val="0"/>
          <w:caps w:val="0"/>
          <w:color w:val="000000"/>
          <w:spacing w:val="0"/>
          <w:kern w:val="0"/>
          <w:sz w:val="32"/>
          <w:szCs w:val="32"/>
          <w:highlight w:val="none"/>
          <w:shd w:val="clear" w:fill="FFFFFF"/>
          <w:lang w:val="en-US" w:eastAsia="zh-CN" w:bidi="ar"/>
        </w:rPr>
        <w:t>四、投标文件的递交</w:t>
      </w:r>
    </w:p>
    <w:p w14:paraId="539988BF">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both"/>
        <w:textAlignment w:val="auto"/>
        <w:rPr>
          <w:rFonts w:hint="eastAsia" w:ascii="楷体_GB2312" w:hAnsi="楷体_GB2312" w:eastAsia="楷体_GB2312" w:cs="楷体_GB2312"/>
          <w:b/>
          <w:bCs/>
          <w:i w:val="0"/>
          <w:iCs w:val="0"/>
          <w:caps w:val="0"/>
          <w:color w:val="000000"/>
          <w:spacing w:val="0"/>
          <w:kern w:val="0"/>
          <w:sz w:val="32"/>
          <w:szCs w:val="32"/>
          <w:highlight w:val="none"/>
          <w:shd w:val="clear" w:fill="FFFFFF"/>
          <w:lang w:val="en-US" w:eastAsia="zh-CN" w:bidi="ar"/>
        </w:rPr>
      </w:pPr>
      <w:r>
        <w:rPr>
          <w:rFonts w:hint="eastAsia" w:ascii="楷体_GB2312" w:hAnsi="楷体_GB2312" w:eastAsia="楷体_GB2312" w:cs="楷体_GB2312"/>
          <w:b/>
          <w:bCs/>
          <w:i w:val="0"/>
          <w:iCs w:val="0"/>
          <w:caps w:val="0"/>
          <w:color w:val="000000"/>
          <w:spacing w:val="0"/>
          <w:kern w:val="0"/>
          <w:sz w:val="32"/>
          <w:szCs w:val="32"/>
          <w:highlight w:val="none"/>
          <w:shd w:val="clear" w:fill="FFFFFF"/>
          <w:lang w:val="en-US" w:eastAsia="zh-CN" w:bidi="ar"/>
        </w:rPr>
        <w:t>（一）投标文件的递交</w:t>
      </w:r>
    </w:p>
    <w:p w14:paraId="33718621">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highlight w:val="none"/>
          <w:shd w:val="clear" w:fill="FFFFFF"/>
          <w:lang w:val="en-US" w:eastAsia="zh-CN" w:bidi="ar"/>
        </w:rPr>
        <w:t>投标响应材料提交形式：1份正本，2份副本，密封处需加盖公章，密封提交投标响应书送达庐阳区教育体育局310室。投标截止时间为2024年9月13日9:00前。如果投标人代表不是法定代表人，须提供《法定代表人授权书》，授权书编入投标商务文件中以供核查。</w:t>
      </w:r>
    </w:p>
    <w:p w14:paraId="6DDD07B4">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both"/>
        <w:textAlignment w:val="auto"/>
        <w:rPr>
          <w:rFonts w:hint="eastAsia" w:ascii="楷体_GB2312" w:hAnsi="楷体_GB2312" w:eastAsia="楷体_GB2312" w:cs="楷体_GB2312"/>
          <w:b/>
          <w:bCs/>
          <w:i w:val="0"/>
          <w:iCs w:val="0"/>
          <w:caps w:val="0"/>
          <w:color w:val="000000"/>
          <w:spacing w:val="0"/>
          <w:kern w:val="0"/>
          <w:sz w:val="32"/>
          <w:szCs w:val="32"/>
          <w:highlight w:val="none"/>
          <w:shd w:val="clear" w:fill="FFFFFF"/>
          <w:lang w:val="en-US" w:eastAsia="zh-CN" w:bidi="ar"/>
        </w:rPr>
      </w:pPr>
      <w:r>
        <w:rPr>
          <w:rFonts w:hint="eastAsia" w:ascii="楷体_GB2312" w:hAnsi="楷体_GB2312" w:eastAsia="楷体_GB2312" w:cs="楷体_GB2312"/>
          <w:b/>
          <w:bCs/>
          <w:i w:val="0"/>
          <w:iCs w:val="0"/>
          <w:caps w:val="0"/>
          <w:color w:val="000000"/>
          <w:spacing w:val="0"/>
          <w:kern w:val="0"/>
          <w:sz w:val="32"/>
          <w:szCs w:val="32"/>
          <w:highlight w:val="none"/>
          <w:shd w:val="clear" w:fill="FFFFFF"/>
          <w:lang w:val="en-US" w:eastAsia="zh-CN" w:bidi="ar"/>
        </w:rPr>
        <w:t>（二）发生下列情况之一的投标文件将拒收:</w:t>
      </w:r>
    </w:p>
    <w:p w14:paraId="56E8E122">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highlight w:val="none"/>
          <w:shd w:val="clear" w:fill="FFFFFF"/>
          <w:lang w:val="en-US" w:eastAsia="zh-CN" w:bidi="ar"/>
        </w:rPr>
        <w:t>1.在投标截止时间以后送达的投标文件；</w:t>
      </w:r>
    </w:p>
    <w:p w14:paraId="3EF4BAB0">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highlight w:val="none"/>
          <w:shd w:val="clear" w:fill="FFFFFF"/>
          <w:lang w:val="en-US" w:eastAsia="zh-CN" w:bidi="ar"/>
        </w:rPr>
        <w:t>2.未按招标文件要求密封的投标文件；</w:t>
      </w:r>
    </w:p>
    <w:p w14:paraId="4AD87F1B">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highlight w:val="none"/>
          <w:shd w:val="clear" w:fill="FFFFFF"/>
          <w:lang w:val="en-US" w:eastAsia="zh-CN" w:bidi="ar"/>
        </w:rPr>
        <w:t>3.由于包装不妥在送达途中严重破损或失散的投标文件；</w:t>
      </w:r>
    </w:p>
    <w:p w14:paraId="6F299206">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highlight w:val="none"/>
          <w:shd w:val="clear" w:fill="FFFFFF"/>
          <w:lang w:val="en-US" w:eastAsia="zh-CN" w:bidi="ar"/>
        </w:rPr>
        <w:t>4.以电讯形式递交的投标文件。</w:t>
      </w:r>
    </w:p>
    <w:p w14:paraId="4028C690">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i w:val="0"/>
          <w:iCs w:val="0"/>
          <w:caps w:val="0"/>
          <w:color w:val="000000"/>
          <w:spacing w:val="0"/>
          <w:kern w:val="0"/>
          <w:sz w:val="32"/>
          <w:szCs w:val="32"/>
          <w:highlight w:val="none"/>
          <w:shd w:val="clear" w:fill="FFFFFF"/>
          <w:lang w:val="en-US" w:eastAsia="zh-CN" w:bidi="ar"/>
        </w:rPr>
      </w:pPr>
      <w:r>
        <w:rPr>
          <w:rFonts w:hint="eastAsia" w:ascii="黑体" w:hAnsi="黑体" w:eastAsia="黑体" w:cs="黑体"/>
          <w:i w:val="0"/>
          <w:iCs w:val="0"/>
          <w:caps w:val="0"/>
          <w:color w:val="000000"/>
          <w:spacing w:val="0"/>
          <w:kern w:val="0"/>
          <w:sz w:val="32"/>
          <w:szCs w:val="32"/>
          <w:highlight w:val="none"/>
          <w:shd w:val="clear" w:fill="FFFFFF"/>
          <w:lang w:val="en-US" w:eastAsia="zh-CN" w:bidi="ar"/>
        </w:rPr>
        <w:t>五、经费预算：</w:t>
      </w:r>
      <w:r>
        <w:rPr>
          <w:rFonts w:hint="eastAsia" w:ascii="仿宋_GB2312" w:hAnsi="仿宋_GB2312" w:eastAsia="仿宋_GB2312" w:cs="仿宋_GB2312"/>
          <w:color w:val="000000"/>
          <w:sz w:val="32"/>
          <w:szCs w:val="32"/>
          <w:highlight w:val="none"/>
        </w:rPr>
        <w:t>预算总金额</w:t>
      </w:r>
      <w:r>
        <w:rPr>
          <w:rFonts w:hint="eastAsia" w:ascii="仿宋_GB2312" w:hAnsi="仿宋_GB2312" w:eastAsia="仿宋_GB2312" w:cs="仿宋_GB2312"/>
          <w:color w:val="000000"/>
          <w:sz w:val="32"/>
          <w:szCs w:val="32"/>
          <w:highlight w:val="none"/>
          <w:lang w:val="en-US" w:eastAsia="zh-CN"/>
        </w:rPr>
        <w:t>14</w:t>
      </w:r>
      <w:r>
        <w:rPr>
          <w:rFonts w:hint="eastAsia" w:ascii="仿宋_GB2312" w:hAnsi="仿宋_GB2312" w:eastAsia="仿宋_GB2312" w:cs="仿宋_GB2312"/>
          <w:color w:val="000000"/>
          <w:sz w:val="32"/>
          <w:szCs w:val="32"/>
          <w:highlight w:val="none"/>
        </w:rPr>
        <w:t>万元。</w:t>
      </w:r>
    </w:p>
    <w:p w14:paraId="2302525A">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highlight w:val="none"/>
          <w:shd w:val="clear" w:fill="FFFFFF"/>
          <w:lang w:val="en-US" w:eastAsia="zh-CN" w:bidi="ar"/>
        </w:rPr>
      </w:pPr>
      <w:r>
        <w:rPr>
          <w:rFonts w:hint="eastAsia" w:ascii="黑体" w:hAnsi="黑体" w:eastAsia="黑体" w:cs="黑体"/>
          <w:i w:val="0"/>
          <w:iCs w:val="0"/>
          <w:caps w:val="0"/>
          <w:color w:val="000000"/>
          <w:spacing w:val="0"/>
          <w:kern w:val="0"/>
          <w:sz w:val="32"/>
          <w:szCs w:val="32"/>
          <w:highlight w:val="none"/>
          <w:shd w:val="clear" w:fill="FFFFFF"/>
          <w:lang w:val="en-US" w:eastAsia="zh-CN" w:bidi="ar"/>
        </w:rPr>
        <w:t>六、付款条件：</w:t>
      </w:r>
      <w:r>
        <w:rPr>
          <w:rFonts w:hint="eastAsia" w:ascii="仿宋_GB2312" w:hAnsi="仿宋_GB2312" w:eastAsia="仿宋_GB2312" w:cs="仿宋_GB2312"/>
          <w:color w:val="000000"/>
          <w:sz w:val="32"/>
          <w:szCs w:val="32"/>
          <w:highlight w:val="none"/>
          <w:lang w:val="en-US" w:eastAsia="zh-CN"/>
        </w:rPr>
        <w:t>项目完成经验收合格后</w:t>
      </w:r>
      <w:r>
        <w:rPr>
          <w:rFonts w:hint="eastAsia" w:ascii="仿宋_GB2312" w:hAnsi="仿宋_GB2312" w:eastAsia="仿宋_GB2312" w:cs="仿宋_GB2312"/>
          <w:color w:val="000000"/>
          <w:sz w:val="32"/>
          <w:szCs w:val="32"/>
          <w:highlight w:val="none"/>
        </w:rPr>
        <w:t>凭</w:t>
      </w:r>
      <w:r>
        <w:rPr>
          <w:rFonts w:hint="eastAsia" w:ascii="仿宋_GB2312" w:hAnsi="仿宋_GB2312" w:eastAsia="仿宋_GB2312" w:cs="仿宋_GB2312"/>
          <w:color w:val="000000"/>
          <w:sz w:val="32"/>
          <w:szCs w:val="32"/>
          <w:highlight w:val="none"/>
          <w:lang w:eastAsia="zh-CN"/>
        </w:rPr>
        <w:t>成交供应商</w:t>
      </w:r>
      <w:r>
        <w:rPr>
          <w:rFonts w:hint="eastAsia" w:ascii="仿宋_GB2312" w:hAnsi="仿宋_GB2312" w:eastAsia="仿宋_GB2312" w:cs="仿宋_GB2312"/>
          <w:color w:val="000000"/>
          <w:sz w:val="32"/>
          <w:szCs w:val="32"/>
          <w:highlight w:val="none"/>
        </w:rPr>
        <w:t>提供正规发票</w:t>
      </w:r>
      <w:r>
        <w:rPr>
          <w:rFonts w:hint="eastAsia" w:ascii="仿宋_GB2312" w:hAnsi="仿宋_GB2312" w:eastAsia="仿宋_GB2312" w:cs="仿宋_GB2312"/>
          <w:color w:val="000000"/>
          <w:sz w:val="32"/>
          <w:szCs w:val="32"/>
          <w:highlight w:val="none"/>
          <w:lang w:val="en-US" w:eastAsia="zh-CN"/>
        </w:rPr>
        <w:t>一次性支付100%款项</w:t>
      </w:r>
      <w:r>
        <w:rPr>
          <w:rFonts w:hint="eastAsia" w:ascii="仿宋_GB2312" w:hAnsi="仿宋_GB2312" w:eastAsia="仿宋_GB2312" w:cs="仿宋_GB2312"/>
          <w:color w:val="000000"/>
          <w:sz w:val="32"/>
          <w:szCs w:val="32"/>
          <w:highlight w:val="none"/>
        </w:rPr>
        <w:t>。</w:t>
      </w:r>
    </w:p>
    <w:p w14:paraId="62B1968A">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i w:val="0"/>
          <w:iCs w:val="0"/>
          <w:caps w:val="0"/>
          <w:color w:val="000000"/>
          <w:spacing w:val="0"/>
          <w:kern w:val="0"/>
          <w:sz w:val="32"/>
          <w:szCs w:val="32"/>
          <w:highlight w:val="none"/>
          <w:shd w:val="clear" w:fill="FFFFFF"/>
          <w:lang w:val="en-US" w:eastAsia="zh-CN" w:bidi="ar"/>
        </w:rPr>
      </w:pPr>
      <w:r>
        <w:rPr>
          <w:rFonts w:hint="eastAsia" w:ascii="黑体" w:hAnsi="黑体" w:eastAsia="黑体" w:cs="黑体"/>
          <w:i w:val="0"/>
          <w:iCs w:val="0"/>
          <w:caps w:val="0"/>
          <w:color w:val="000000"/>
          <w:spacing w:val="0"/>
          <w:kern w:val="0"/>
          <w:sz w:val="32"/>
          <w:szCs w:val="32"/>
          <w:highlight w:val="none"/>
          <w:shd w:val="clear" w:fill="FFFFFF"/>
          <w:lang w:val="en-US" w:eastAsia="zh-CN" w:bidi="ar"/>
        </w:rPr>
        <w:t>七、服务需求</w:t>
      </w:r>
    </w:p>
    <w:p w14:paraId="3C53AE00">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both"/>
        <w:textAlignment w:val="auto"/>
        <w:rPr>
          <w:rFonts w:hint="eastAsia" w:ascii="楷体_GB2312" w:hAnsi="楷体_GB2312" w:eastAsia="楷体_GB2312" w:cs="楷体_GB2312"/>
          <w:b/>
          <w:bCs/>
          <w:i w:val="0"/>
          <w:iCs w:val="0"/>
          <w:caps w:val="0"/>
          <w:color w:val="000000"/>
          <w:spacing w:val="0"/>
          <w:sz w:val="32"/>
          <w:szCs w:val="32"/>
          <w:highlight w:val="none"/>
          <w:shd w:val="clear" w:fill="FFFFFF"/>
          <w:lang w:val="en-US" w:eastAsia="zh-CN"/>
        </w:rPr>
      </w:pPr>
      <w:r>
        <w:rPr>
          <w:rFonts w:hint="eastAsia" w:ascii="楷体_GB2312" w:hAnsi="楷体_GB2312" w:eastAsia="楷体_GB2312" w:cs="楷体_GB2312"/>
          <w:b/>
          <w:bCs/>
          <w:i w:val="0"/>
          <w:iCs w:val="0"/>
          <w:caps w:val="0"/>
          <w:color w:val="000000"/>
          <w:spacing w:val="0"/>
          <w:sz w:val="32"/>
          <w:szCs w:val="32"/>
          <w:highlight w:val="none"/>
          <w:shd w:val="clear" w:fill="FFFFFF"/>
          <w:lang w:val="en-US" w:eastAsia="zh-CN"/>
        </w:rPr>
        <w:t>（一）项目内容</w:t>
      </w:r>
    </w:p>
    <w:p w14:paraId="0AC88AEF">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在</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庐阳区</w:t>
      </w:r>
      <w:r>
        <w:rPr>
          <w:rFonts w:hint="eastAsia" w:ascii="仿宋_GB2312" w:hAnsi="仿宋_GB2312" w:eastAsia="仿宋_GB2312" w:cs="仿宋_GB2312"/>
          <w:i w:val="0"/>
          <w:iCs w:val="0"/>
          <w:caps w:val="0"/>
          <w:color w:val="000000"/>
          <w:spacing w:val="0"/>
          <w:sz w:val="32"/>
          <w:szCs w:val="32"/>
          <w:highlight w:val="none"/>
          <w:shd w:val="clear" w:fill="FFFFFF"/>
        </w:rPr>
        <w:t>开展不少于</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11</w:t>
      </w:r>
      <w:r>
        <w:rPr>
          <w:rFonts w:hint="eastAsia" w:ascii="仿宋_GB2312" w:hAnsi="仿宋_GB2312" w:eastAsia="仿宋_GB2312" w:cs="仿宋_GB2312"/>
          <w:i w:val="0"/>
          <w:iCs w:val="0"/>
          <w:caps w:val="0"/>
          <w:color w:val="000000"/>
          <w:spacing w:val="0"/>
          <w:sz w:val="32"/>
          <w:szCs w:val="32"/>
          <w:highlight w:val="none"/>
          <w:shd w:val="clear" w:fill="FFFFFF"/>
        </w:rPr>
        <w:t>场</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行政村（</w:t>
      </w:r>
      <w:r>
        <w:rPr>
          <w:rFonts w:hint="eastAsia" w:ascii="仿宋_GB2312" w:hAnsi="仿宋_GB2312" w:eastAsia="仿宋_GB2312" w:cs="仿宋_GB2312"/>
          <w:i w:val="0"/>
          <w:iCs w:val="0"/>
          <w:caps w:val="0"/>
          <w:color w:val="000000"/>
          <w:spacing w:val="0"/>
          <w:sz w:val="32"/>
          <w:szCs w:val="32"/>
          <w:highlight w:val="none"/>
          <w:shd w:val="clear" w:fill="FFFFFF"/>
          <w:lang w:eastAsia="zh"/>
        </w:rPr>
        <w:t>社区</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w:t>
      </w:r>
      <w:r>
        <w:rPr>
          <w:rFonts w:hint="eastAsia" w:ascii="仿宋_GB2312" w:hAnsi="仿宋_GB2312" w:eastAsia="仿宋_GB2312" w:cs="仿宋_GB2312"/>
          <w:i w:val="0"/>
          <w:iCs w:val="0"/>
          <w:caps w:val="0"/>
          <w:color w:val="000000"/>
          <w:spacing w:val="0"/>
          <w:sz w:val="32"/>
          <w:szCs w:val="32"/>
          <w:highlight w:val="none"/>
          <w:shd w:val="clear" w:fill="FFFFFF"/>
          <w:lang w:eastAsia="zh"/>
        </w:rPr>
        <w:t>运动会</w:t>
      </w:r>
      <w:r>
        <w:rPr>
          <w:rFonts w:hint="eastAsia" w:ascii="仿宋_GB2312" w:hAnsi="仿宋_GB2312" w:eastAsia="仿宋_GB2312" w:cs="仿宋_GB2312"/>
          <w:i w:val="0"/>
          <w:iCs w:val="0"/>
          <w:caps w:val="0"/>
          <w:color w:val="000000"/>
          <w:spacing w:val="0"/>
          <w:sz w:val="32"/>
          <w:szCs w:val="32"/>
          <w:highlight w:val="none"/>
          <w:shd w:val="clear" w:fill="FFFFFF"/>
        </w:rPr>
        <w:t>，每场活动开展项目不少于</w:t>
      </w: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5</w:t>
      </w:r>
      <w:r>
        <w:rPr>
          <w:rFonts w:hint="eastAsia" w:ascii="仿宋_GB2312" w:hAnsi="仿宋_GB2312" w:eastAsia="仿宋_GB2312" w:cs="仿宋_GB2312"/>
          <w:i w:val="0"/>
          <w:iCs w:val="0"/>
          <w:caps w:val="0"/>
          <w:color w:val="000000"/>
          <w:spacing w:val="0"/>
          <w:sz w:val="32"/>
          <w:szCs w:val="32"/>
          <w:highlight w:val="none"/>
          <w:shd w:val="clear" w:fill="FFFFFF"/>
        </w:rPr>
        <w:t> 项</w:t>
      </w:r>
      <w:r>
        <w:rPr>
          <w:rFonts w:hint="eastAsia" w:ascii="仿宋_GB2312" w:hAnsi="仿宋_GB2312" w:eastAsia="仿宋_GB2312" w:cs="仿宋_GB2312"/>
          <w:i w:val="0"/>
          <w:iCs w:val="0"/>
          <w:caps w:val="0"/>
          <w:color w:val="000000"/>
          <w:spacing w:val="0"/>
          <w:sz w:val="32"/>
          <w:szCs w:val="32"/>
          <w:highlight w:val="none"/>
          <w:shd w:val="clear" w:fill="FFFFFF"/>
          <w:lang w:eastAsia="zh"/>
        </w:rPr>
        <w:t>（所设项目需经业主方审定）</w:t>
      </w:r>
      <w:r>
        <w:rPr>
          <w:rFonts w:hint="eastAsia" w:ascii="仿宋_GB2312" w:hAnsi="仿宋_GB2312" w:eastAsia="仿宋_GB2312" w:cs="仿宋_GB2312"/>
          <w:i w:val="0"/>
          <w:iCs w:val="0"/>
          <w:caps w:val="0"/>
          <w:color w:val="000000"/>
          <w:spacing w:val="0"/>
          <w:sz w:val="32"/>
          <w:szCs w:val="32"/>
          <w:highlight w:val="none"/>
          <w:shd w:val="clear" w:fill="FFFFFF"/>
        </w:rPr>
        <w:t>，每项活动直接参与人数不少于 </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100</w:t>
      </w:r>
      <w:r>
        <w:rPr>
          <w:rFonts w:hint="eastAsia" w:ascii="仿宋_GB2312" w:hAnsi="仿宋_GB2312" w:eastAsia="仿宋_GB2312" w:cs="仿宋_GB2312"/>
          <w:i w:val="0"/>
          <w:iCs w:val="0"/>
          <w:caps w:val="0"/>
          <w:color w:val="000000"/>
          <w:spacing w:val="0"/>
          <w:sz w:val="32"/>
          <w:szCs w:val="32"/>
          <w:highlight w:val="none"/>
          <w:shd w:val="clear" w:fill="FFFFFF"/>
        </w:rPr>
        <w:t>人。</w:t>
      </w:r>
      <w:bookmarkStart w:id="1" w:name="_GoBack"/>
      <w:bookmarkEnd w:id="1"/>
    </w:p>
    <w:p w14:paraId="58B76F50">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both"/>
        <w:textAlignment w:val="auto"/>
        <w:rPr>
          <w:rFonts w:hint="eastAsia" w:ascii="楷体_GB2312" w:hAnsi="楷体_GB2312" w:eastAsia="楷体_GB2312" w:cs="楷体_GB2312"/>
          <w:b/>
          <w:bCs/>
          <w:i w:val="0"/>
          <w:iCs w:val="0"/>
          <w:caps w:val="0"/>
          <w:color w:val="000000"/>
          <w:spacing w:val="0"/>
          <w:sz w:val="32"/>
          <w:szCs w:val="32"/>
          <w:highlight w:val="none"/>
          <w:shd w:val="clear" w:fill="FFFFFF"/>
          <w:lang w:val="en-US" w:eastAsia="zh-CN"/>
        </w:rPr>
      </w:pPr>
      <w:r>
        <w:rPr>
          <w:rFonts w:hint="eastAsia" w:ascii="楷体_GB2312" w:hAnsi="楷体_GB2312" w:eastAsia="楷体_GB2312" w:cs="楷体_GB2312"/>
          <w:b/>
          <w:bCs/>
          <w:i w:val="0"/>
          <w:iCs w:val="0"/>
          <w:caps w:val="0"/>
          <w:color w:val="000000"/>
          <w:spacing w:val="0"/>
          <w:sz w:val="32"/>
          <w:szCs w:val="32"/>
          <w:highlight w:val="none"/>
          <w:shd w:val="clear" w:fill="FFFFFF"/>
          <w:lang w:val="en-US" w:eastAsia="zh-CN"/>
        </w:rPr>
        <w:t>（二）人数和天数</w:t>
      </w:r>
    </w:p>
    <w:p w14:paraId="7BD346CC">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highlight w:val="none"/>
          <w:shd w:val="clear" w:fill="FFFFFF"/>
          <w:lang w:val="en-US" w:eastAsia="zh-CN"/>
        </w:rPr>
      </w:pP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1.人数：每场不少于100人，总计参与人数不少于1100人。</w:t>
      </w:r>
    </w:p>
    <w:p w14:paraId="44471215">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highlight w:val="none"/>
          <w:shd w:val="clear" w:fill="FFFFFF"/>
          <w:lang w:val="en-US" w:eastAsia="zh-CN"/>
        </w:rPr>
      </w:pP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2.比赛天数累计不少于11个半天。</w:t>
      </w:r>
    </w:p>
    <w:p w14:paraId="0EB44601">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both"/>
        <w:textAlignment w:val="auto"/>
        <w:rPr>
          <w:rFonts w:hint="eastAsia" w:ascii="楷体_GB2312" w:hAnsi="楷体_GB2312" w:eastAsia="楷体_GB2312" w:cs="楷体_GB2312"/>
          <w:b/>
          <w:bCs/>
          <w:i w:val="0"/>
          <w:iCs w:val="0"/>
          <w:caps w:val="0"/>
          <w:color w:val="000000"/>
          <w:spacing w:val="0"/>
          <w:sz w:val="32"/>
          <w:szCs w:val="32"/>
          <w:highlight w:val="none"/>
          <w:shd w:val="clear" w:fill="FFFFFF"/>
          <w:lang w:val="en-US" w:eastAsia="zh-CN"/>
        </w:rPr>
      </w:pPr>
      <w:r>
        <w:rPr>
          <w:rFonts w:hint="eastAsia" w:ascii="楷体_GB2312" w:hAnsi="楷体_GB2312" w:eastAsia="楷体_GB2312" w:cs="楷体_GB2312"/>
          <w:b/>
          <w:bCs/>
          <w:i w:val="0"/>
          <w:iCs w:val="0"/>
          <w:caps w:val="0"/>
          <w:color w:val="000000"/>
          <w:spacing w:val="0"/>
          <w:sz w:val="32"/>
          <w:szCs w:val="32"/>
          <w:highlight w:val="none"/>
          <w:shd w:val="clear" w:fill="FFFFFF"/>
          <w:lang w:val="en-US" w:eastAsia="zh-CN"/>
        </w:rPr>
        <w:t>（三）举办时间</w:t>
      </w:r>
    </w:p>
    <w:p w14:paraId="67C18C62">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2024年11月31日</w:t>
      </w:r>
      <w:r>
        <w:rPr>
          <w:rFonts w:hint="eastAsia" w:ascii="仿宋_GB2312" w:hAnsi="仿宋_GB2312" w:eastAsia="仿宋_GB2312" w:cs="仿宋_GB2312"/>
          <w:i w:val="0"/>
          <w:iCs w:val="0"/>
          <w:caps w:val="0"/>
          <w:color w:val="000000"/>
          <w:spacing w:val="0"/>
          <w:sz w:val="32"/>
          <w:szCs w:val="32"/>
          <w:highlight w:val="none"/>
          <w:shd w:val="clear" w:fill="FFFFFF"/>
          <w:lang w:val="en-US" w:eastAsia="zh"/>
        </w:rPr>
        <w:t>前</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完成，如受不可抗力影响而无法开展赛事，经采购人同意后赛事可延期举行。</w:t>
      </w:r>
    </w:p>
    <w:p w14:paraId="0104A712">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both"/>
        <w:textAlignment w:val="auto"/>
        <w:rPr>
          <w:rFonts w:hint="eastAsia" w:ascii="楷体_GB2312" w:hAnsi="楷体_GB2312" w:eastAsia="楷体_GB2312" w:cs="楷体_GB2312"/>
          <w:b/>
          <w:bCs/>
          <w:i w:val="0"/>
          <w:iCs w:val="0"/>
          <w:caps w:val="0"/>
          <w:color w:val="000000"/>
          <w:spacing w:val="0"/>
          <w:sz w:val="32"/>
          <w:szCs w:val="32"/>
          <w:highlight w:val="none"/>
          <w:shd w:val="clear" w:fill="FFFFFF"/>
          <w:lang w:val="en-US" w:eastAsia="zh-CN"/>
        </w:rPr>
      </w:pPr>
      <w:r>
        <w:rPr>
          <w:rFonts w:hint="eastAsia" w:ascii="楷体_GB2312" w:hAnsi="楷体_GB2312" w:eastAsia="楷体_GB2312" w:cs="楷体_GB2312"/>
          <w:b/>
          <w:bCs/>
          <w:i w:val="0"/>
          <w:iCs w:val="0"/>
          <w:caps w:val="0"/>
          <w:color w:val="000000"/>
          <w:spacing w:val="0"/>
          <w:sz w:val="32"/>
          <w:szCs w:val="32"/>
          <w:highlight w:val="none"/>
          <w:shd w:val="clear" w:fill="FFFFFF"/>
          <w:lang w:val="en-US" w:eastAsia="zh-CN"/>
        </w:rPr>
        <w:t>（四）</w:t>
      </w:r>
      <w:r>
        <w:rPr>
          <w:rFonts w:hint="eastAsia" w:ascii="楷体_GB2312" w:hAnsi="楷体_GB2312" w:eastAsia="楷体_GB2312" w:cs="楷体_GB2312"/>
          <w:b/>
          <w:bCs/>
          <w:i w:val="0"/>
          <w:iCs w:val="0"/>
          <w:caps w:val="0"/>
          <w:color w:val="000000"/>
          <w:spacing w:val="0"/>
          <w:sz w:val="32"/>
          <w:szCs w:val="32"/>
          <w:highlight w:val="none"/>
          <w:shd w:val="clear" w:fill="FFFFFF"/>
          <w:lang w:val="en-US" w:eastAsia="zh"/>
        </w:rPr>
        <w:t>相关</w:t>
      </w:r>
      <w:r>
        <w:rPr>
          <w:rFonts w:hint="eastAsia" w:ascii="楷体_GB2312" w:hAnsi="楷体_GB2312" w:eastAsia="楷体_GB2312" w:cs="楷体_GB2312"/>
          <w:b/>
          <w:bCs/>
          <w:i w:val="0"/>
          <w:iCs w:val="0"/>
          <w:caps w:val="0"/>
          <w:color w:val="000000"/>
          <w:spacing w:val="0"/>
          <w:sz w:val="32"/>
          <w:szCs w:val="32"/>
          <w:highlight w:val="none"/>
          <w:shd w:val="clear" w:fill="FFFFFF"/>
          <w:lang w:val="en-US" w:eastAsia="zh-CN"/>
        </w:rPr>
        <w:t>要求</w:t>
      </w:r>
    </w:p>
    <w:p w14:paraId="7AEB7135">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b w:val="0"/>
          <w:bCs w:val="0"/>
          <w:i w:val="0"/>
          <w:iCs w:val="0"/>
          <w:caps w:val="0"/>
          <w:color w:val="000000"/>
          <w:spacing w:val="0"/>
          <w:sz w:val="32"/>
          <w:szCs w:val="32"/>
          <w:highlight w:val="none"/>
          <w:shd w:val="clear" w:fill="FFFFFF"/>
          <w:lang w:val="en-US" w:eastAsia="zh-CN"/>
        </w:rPr>
        <w:t>1.场地要求</w:t>
      </w:r>
      <w:r>
        <w:rPr>
          <w:rFonts w:hint="eastAsia" w:ascii="仿宋_GB2312" w:hAnsi="仿宋_GB2312" w:eastAsia="仿宋_GB2312" w:cs="仿宋_GB2312"/>
          <w:b w:val="0"/>
          <w:bCs w:val="0"/>
          <w:i w:val="0"/>
          <w:iCs w:val="0"/>
          <w:caps w:val="0"/>
          <w:color w:val="000000"/>
          <w:spacing w:val="0"/>
          <w:sz w:val="32"/>
          <w:szCs w:val="32"/>
          <w:highlight w:val="none"/>
          <w:shd w:val="clear" w:fill="FFFFFF"/>
          <w:lang w:val="en-US" w:eastAsia="zh"/>
        </w:rPr>
        <w:t>：</w:t>
      </w:r>
      <w:r>
        <w:rPr>
          <w:rFonts w:hint="eastAsia" w:ascii="仿宋_GB2312" w:hAnsi="仿宋_GB2312" w:eastAsia="仿宋_GB2312" w:cs="仿宋_GB2312"/>
          <w:i w:val="0"/>
          <w:iCs w:val="0"/>
          <w:caps w:val="0"/>
          <w:color w:val="000000"/>
          <w:spacing w:val="0"/>
          <w:sz w:val="32"/>
          <w:szCs w:val="32"/>
          <w:highlight w:val="none"/>
          <w:shd w:val="clear" w:fill="FFFFFF"/>
          <w:lang w:eastAsia="zh"/>
        </w:rPr>
        <w:t>每场活动需有不小于</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10</w:t>
      </w:r>
      <w:r>
        <w:rPr>
          <w:rFonts w:hint="eastAsia" w:ascii="仿宋_GB2312" w:hAnsi="仿宋_GB2312" w:eastAsia="仿宋_GB2312" w:cs="仿宋_GB2312"/>
          <w:i w:val="0"/>
          <w:iCs w:val="0"/>
          <w:caps w:val="0"/>
          <w:color w:val="000000"/>
          <w:spacing w:val="0"/>
          <w:sz w:val="32"/>
          <w:szCs w:val="32"/>
          <w:highlight w:val="none"/>
          <w:shd w:val="clear" w:fill="FFFFFF"/>
        </w:rPr>
        <w:t>00 平方米的场地</w:t>
      </w:r>
      <w:r>
        <w:rPr>
          <w:rFonts w:hint="eastAsia" w:ascii="仿宋_GB2312" w:hAnsi="仿宋_GB2312" w:eastAsia="仿宋_GB2312" w:cs="仿宋_GB2312"/>
          <w:b/>
          <w:bCs/>
          <w:i w:val="0"/>
          <w:iCs w:val="0"/>
          <w:caps w:val="0"/>
          <w:color w:val="000000"/>
          <w:spacing w:val="0"/>
          <w:sz w:val="32"/>
          <w:szCs w:val="32"/>
          <w:highlight w:val="none"/>
          <w:shd w:val="clear" w:fill="FFFFFF"/>
        </w:rPr>
        <w:t>，</w:t>
      </w:r>
      <w:r>
        <w:rPr>
          <w:rFonts w:hint="eastAsia" w:ascii="仿宋_GB2312" w:hAnsi="仿宋_GB2312" w:eastAsia="仿宋_GB2312" w:cs="仿宋_GB2312"/>
          <w:i w:val="0"/>
          <w:iCs w:val="0"/>
          <w:caps w:val="0"/>
          <w:color w:val="000000"/>
          <w:spacing w:val="0"/>
          <w:sz w:val="32"/>
          <w:szCs w:val="32"/>
          <w:highlight w:val="none"/>
          <w:shd w:val="clear" w:fill="FFFFFF"/>
        </w:rPr>
        <w:t>每场</w:t>
      </w:r>
      <w:r>
        <w:rPr>
          <w:rFonts w:hint="eastAsia" w:ascii="仿宋_GB2312" w:hAnsi="仿宋_GB2312" w:eastAsia="仿宋_GB2312" w:cs="仿宋_GB2312"/>
          <w:i w:val="0"/>
          <w:iCs w:val="0"/>
          <w:caps w:val="0"/>
          <w:color w:val="000000"/>
          <w:spacing w:val="0"/>
          <w:sz w:val="32"/>
          <w:szCs w:val="32"/>
          <w:highlight w:val="none"/>
          <w:shd w:val="clear" w:fill="FFFFFF"/>
          <w:lang w:eastAsia="zh"/>
        </w:rPr>
        <w:t>活动现场需制作</w:t>
      </w:r>
      <w:r>
        <w:rPr>
          <w:rFonts w:hint="eastAsia" w:ascii="仿宋_GB2312" w:hAnsi="仿宋_GB2312" w:eastAsia="仿宋_GB2312" w:cs="仿宋_GB2312"/>
          <w:i w:val="0"/>
          <w:iCs w:val="0"/>
          <w:caps w:val="0"/>
          <w:color w:val="000000"/>
          <w:spacing w:val="0"/>
          <w:sz w:val="32"/>
          <w:szCs w:val="32"/>
          <w:highlight w:val="none"/>
          <w:shd w:val="clear" w:fill="FFFFFF"/>
        </w:rPr>
        <w:t>背景板</w:t>
      </w:r>
      <w:r>
        <w:rPr>
          <w:rFonts w:hint="eastAsia" w:ascii="仿宋_GB2312" w:hAnsi="仿宋_GB2312" w:eastAsia="仿宋_GB2312" w:cs="仿宋_GB2312"/>
          <w:i w:val="0"/>
          <w:iCs w:val="0"/>
          <w:caps w:val="0"/>
          <w:color w:val="000000"/>
          <w:spacing w:val="0"/>
          <w:sz w:val="32"/>
          <w:szCs w:val="32"/>
          <w:highlight w:val="none"/>
          <w:shd w:val="clear" w:fill="FFFFFF"/>
          <w:lang w:eastAsia="zh-CN"/>
        </w:rPr>
        <w:t>、</w:t>
      </w:r>
      <w:r>
        <w:rPr>
          <w:rFonts w:hint="eastAsia" w:ascii="仿宋_GB2312" w:hAnsi="仿宋_GB2312" w:eastAsia="仿宋_GB2312" w:cs="仿宋_GB2312"/>
          <w:i w:val="0"/>
          <w:iCs w:val="0"/>
          <w:caps w:val="0"/>
          <w:color w:val="000000"/>
          <w:spacing w:val="0"/>
          <w:sz w:val="32"/>
          <w:szCs w:val="32"/>
          <w:highlight w:val="none"/>
          <w:shd w:val="clear" w:fill="FFFFFF"/>
          <w:lang w:eastAsia="zh"/>
        </w:rPr>
        <w:t>道</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旗等物料布置</w:t>
      </w:r>
      <w:r>
        <w:rPr>
          <w:rFonts w:hint="eastAsia" w:ascii="仿宋_GB2312" w:hAnsi="仿宋_GB2312" w:eastAsia="仿宋_GB2312" w:cs="仿宋_GB2312"/>
          <w:i w:val="0"/>
          <w:iCs w:val="0"/>
          <w:caps w:val="0"/>
          <w:color w:val="000000"/>
          <w:spacing w:val="0"/>
          <w:sz w:val="32"/>
          <w:szCs w:val="32"/>
          <w:highlight w:val="none"/>
          <w:shd w:val="clear" w:fill="FFFFFF"/>
        </w:rPr>
        <w:t>，</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营造浓厚活动氛围，</w:t>
      </w:r>
      <w:r>
        <w:rPr>
          <w:rFonts w:hint="eastAsia" w:ascii="仿宋_GB2312" w:hAnsi="仿宋_GB2312" w:eastAsia="仿宋_GB2312" w:cs="仿宋_GB2312"/>
          <w:i w:val="0"/>
          <w:iCs w:val="0"/>
          <w:caps w:val="0"/>
          <w:color w:val="000000"/>
          <w:spacing w:val="0"/>
          <w:sz w:val="32"/>
          <w:szCs w:val="32"/>
          <w:highlight w:val="none"/>
          <w:shd w:val="clear" w:fill="FFFFFF"/>
          <w:lang w:eastAsia="zh"/>
        </w:rPr>
        <w:t>每场活动举办当天要</w:t>
      </w:r>
      <w:r>
        <w:rPr>
          <w:rFonts w:hint="eastAsia" w:ascii="仿宋_GB2312" w:hAnsi="仿宋_GB2312" w:eastAsia="仿宋_GB2312" w:cs="仿宋_GB2312"/>
          <w:i w:val="0"/>
          <w:iCs w:val="0"/>
          <w:caps w:val="0"/>
          <w:color w:val="000000"/>
          <w:spacing w:val="0"/>
          <w:sz w:val="32"/>
          <w:szCs w:val="32"/>
          <w:highlight w:val="none"/>
          <w:shd w:val="clear" w:fill="FFFFFF"/>
        </w:rPr>
        <w:t>有宣传报道。</w:t>
      </w:r>
    </w:p>
    <w:p w14:paraId="0762713B">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i w:val="0"/>
          <w:iCs w:val="0"/>
          <w:caps w:val="0"/>
          <w:color w:val="404040"/>
          <w:spacing w:val="0"/>
          <w:sz w:val="32"/>
          <w:szCs w:val="32"/>
          <w:highlight w:val="none"/>
          <w:lang w:eastAsia="zh"/>
        </w:rPr>
      </w:pP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2.</w:t>
      </w:r>
      <w:r>
        <w:rPr>
          <w:rFonts w:hint="eastAsia" w:ascii="仿宋_GB2312" w:hAnsi="仿宋_GB2312" w:eastAsia="仿宋_GB2312" w:cs="仿宋_GB2312"/>
          <w:i w:val="0"/>
          <w:iCs w:val="0"/>
          <w:caps w:val="0"/>
          <w:color w:val="000000"/>
          <w:spacing w:val="0"/>
          <w:sz w:val="32"/>
          <w:szCs w:val="32"/>
          <w:highlight w:val="none"/>
          <w:shd w:val="clear" w:fill="FFFFFF"/>
        </w:rPr>
        <w:t>裁判设备要求</w:t>
      </w:r>
      <w:r>
        <w:rPr>
          <w:rFonts w:hint="eastAsia" w:ascii="仿宋_GB2312" w:hAnsi="仿宋_GB2312" w:eastAsia="仿宋_GB2312" w:cs="仿宋_GB2312"/>
          <w:i w:val="0"/>
          <w:iCs w:val="0"/>
          <w:caps w:val="0"/>
          <w:color w:val="000000"/>
          <w:spacing w:val="0"/>
          <w:sz w:val="32"/>
          <w:szCs w:val="32"/>
          <w:highlight w:val="none"/>
          <w:shd w:val="clear" w:fill="FFFFFF"/>
          <w:lang w:eastAsia="zh"/>
        </w:rPr>
        <w:t>：每场比赛需为裁判人员提供口哨、打印机、桌椅、话筒等必备的物料。</w:t>
      </w:r>
    </w:p>
    <w:p w14:paraId="7E25D17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highlight w:val="none"/>
          <w:shd w:val="clear" w:fill="FFFFFF"/>
          <w:lang w:val="en-US" w:eastAsia="zh-CN"/>
        </w:rPr>
      </w:pP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3.竞赛器材要求：根据每场活动的竞赛项目需求</w:t>
      </w:r>
      <w:r>
        <w:rPr>
          <w:rFonts w:hint="eastAsia" w:ascii="仿宋_GB2312" w:hAnsi="仿宋_GB2312" w:eastAsia="仿宋_GB2312" w:cs="仿宋_GB2312"/>
          <w:i w:val="0"/>
          <w:iCs w:val="0"/>
          <w:caps w:val="0"/>
          <w:color w:val="000000"/>
          <w:spacing w:val="0"/>
          <w:sz w:val="32"/>
          <w:szCs w:val="32"/>
          <w:highlight w:val="none"/>
          <w:shd w:val="clear" w:fill="FFFFFF"/>
          <w:lang w:val="en-US" w:eastAsia="zh"/>
        </w:rPr>
        <w:t>准备相应的比赛器材</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w:t>
      </w:r>
    </w:p>
    <w:p w14:paraId="0E971E9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iCs w:val="0"/>
          <w:caps w:val="0"/>
          <w:color w:val="404040"/>
          <w:spacing w:val="0"/>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4</w:t>
      </w:r>
      <w:r>
        <w:rPr>
          <w:rFonts w:hint="eastAsia" w:ascii="仿宋_GB2312" w:hAnsi="仿宋_GB2312" w:eastAsia="仿宋_GB2312" w:cs="仿宋_GB2312"/>
          <w:i w:val="0"/>
          <w:iCs w:val="0"/>
          <w:caps w:val="0"/>
          <w:color w:val="000000"/>
          <w:spacing w:val="0"/>
          <w:sz w:val="32"/>
          <w:szCs w:val="32"/>
          <w:highlight w:val="none"/>
          <w:shd w:val="clear" w:fill="FFFFFF"/>
        </w:rPr>
        <w:t>.根据比赛需要，</w:t>
      </w:r>
      <w:r>
        <w:rPr>
          <w:rFonts w:hint="eastAsia" w:ascii="仿宋_GB2312" w:hAnsi="仿宋_GB2312" w:eastAsia="仿宋_GB2312" w:cs="仿宋_GB2312"/>
          <w:i w:val="0"/>
          <w:iCs w:val="0"/>
          <w:caps w:val="0"/>
          <w:color w:val="000000"/>
          <w:spacing w:val="0"/>
          <w:sz w:val="32"/>
          <w:szCs w:val="32"/>
          <w:highlight w:val="none"/>
          <w:shd w:val="clear" w:fill="FFFFFF"/>
          <w:lang w:eastAsia="zh"/>
        </w:rPr>
        <w:t>配备必要</w:t>
      </w:r>
      <w:r>
        <w:rPr>
          <w:rFonts w:hint="eastAsia" w:ascii="仿宋_GB2312" w:hAnsi="仿宋_GB2312" w:eastAsia="仿宋_GB2312" w:cs="仿宋_GB2312"/>
          <w:i w:val="0"/>
          <w:iCs w:val="0"/>
          <w:caps w:val="0"/>
          <w:color w:val="000000"/>
          <w:spacing w:val="0"/>
          <w:sz w:val="32"/>
          <w:szCs w:val="32"/>
          <w:highlight w:val="none"/>
          <w:shd w:val="clear" w:fill="FFFFFF"/>
        </w:rPr>
        <w:t>的辅助人员和志愿者。</w:t>
      </w:r>
    </w:p>
    <w:p w14:paraId="1C39AB8E">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highlight w:val="none"/>
          <w:shd w:val="clear" w:fill="FFFFFF"/>
          <w:lang w:val="en-US" w:eastAsia="zh-CN"/>
        </w:rPr>
      </w:pP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5</w:t>
      </w:r>
      <w:r>
        <w:rPr>
          <w:rFonts w:hint="eastAsia" w:ascii="仿宋_GB2312" w:hAnsi="仿宋_GB2312" w:eastAsia="仿宋_GB2312" w:cs="仿宋_GB2312"/>
          <w:i w:val="0"/>
          <w:iCs w:val="0"/>
          <w:caps w:val="0"/>
          <w:color w:val="000000"/>
          <w:spacing w:val="0"/>
          <w:sz w:val="32"/>
          <w:szCs w:val="32"/>
          <w:highlight w:val="none"/>
          <w:shd w:val="clear" w:fill="FFFFFF"/>
        </w:rPr>
        <w:t>.</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每场活动开场前须有不少于2支社会体育指导员队伍开展暖场展演，展演总人数不少于20人次。</w:t>
      </w:r>
    </w:p>
    <w:p w14:paraId="353F20B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6.</w:t>
      </w:r>
      <w:r>
        <w:rPr>
          <w:rFonts w:hint="eastAsia" w:ascii="仿宋_GB2312" w:hAnsi="仿宋_GB2312" w:eastAsia="仿宋_GB2312" w:cs="仿宋_GB2312"/>
          <w:i w:val="0"/>
          <w:iCs w:val="0"/>
          <w:caps w:val="0"/>
          <w:color w:val="000000"/>
          <w:spacing w:val="0"/>
          <w:sz w:val="32"/>
          <w:szCs w:val="32"/>
          <w:highlight w:val="none"/>
          <w:shd w:val="clear" w:fill="FFFFFF"/>
        </w:rPr>
        <w:t>裁判员及工作人员</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费用</w:t>
      </w:r>
      <w:r>
        <w:rPr>
          <w:rFonts w:hint="eastAsia" w:ascii="仿宋_GB2312" w:hAnsi="仿宋_GB2312" w:eastAsia="仿宋_GB2312" w:cs="仿宋_GB2312"/>
          <w:i w:val="0"/>
          <w:iCs w:val="0"/>
          <w:caps w:val="0"/>
          <w:color w:val="000000"/>
          <w:spacing w:val="0"/>
          <w:sz w:val="32"/>
          <w:szCs w:val="32"/>
          <w:highlight w:val="none"/>
          <w:shd w:val="clear" w:fill="FFFFFF"/>
        </w:rPr>
        <w:t>由成交供应商承担。</w:t>
      </w:r>
    </w:p>
    <w:p w14:paraId="2D9CBEA0">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both"/>
        <w:textAlignment w:val="auto"/>
        <w:rPr>
          <w:rFonts w:hint="eastAsia" w:ascii="楷体_GB2312" w:hAnsi="楷体_GB2312" w:eastAsia="楷体_GB2312" w:cs="楷体_GB2312"/>
          <w:b/>
          <w:bCs/>
          <w:i w:val="0"/>
          <w:iCs w:val="0"/>
          <w:caps w:val="0"/>
          <w:color w:val="000000"/>
          <w:spacing w:val="0"/>
          <w:sz w:val="32"/>
          <w:szCs w:val="32"/>
          <w:highlight w:val="none"/>
          <w:shd w:val="clear" w:fill="FFFFFF"/>
          <w:lang w:val="en-US" w:eastAsia="zh-CN"/>
        </w:rPr>
      </w:pPr>
      <w:r>
        <w:rPr>
          <w:rFonts w:hint="eastAsia" w:ascii="楷体_GB2312" w:hAnsi="楷体_GB2312" w:eastAsia="楷体_GB2312" w:cs="楷体_GB2312"/>
          <w:b/>
          <w:bCs/>
          <w:i w:val="0"/>
          <w:iCs w:val="0"/>
          <w:caps w:val="0"/>
          <w:color w:val="000000"/>
          <w:spacing w:val="0"/>
          <w:sz w:val="32"/>
          <w:szCs w:val="32"/>
          <w:highlight w:val="none"/>
          <w:shd w:val="clear" w:fill="FFFFFF"/>
          <w:lang w:val="en-US" w:eastAsia="zh-CN"/>
        </w:rPr>
        <w:t>（五）赛事活动组织保障</w:t>
      </w:r>
    </w:p>
    <w:p w14:paraId="54FBB6D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highlight w:val="none"/>
          <w:shd w:val="clear" w:fill="FFFFFF"/>
          <w:lang w:val="en-US" w:eastAsia="zh-CN"/>
        </w:rPr>
      </w:pP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1.成交供应商负责参赛人员招募，</w:t>
      </w:r>
      <w:r>
        <w:rPr>
          <w:rFonts w:hint="eastAsia" w:ascii="仿宋_GB2312" w:hAnsi="仿宋_GB2312" w:eastAsia="仿宋_GB2312" w:cs="仿宋_GB2312"/>
          <w:i w:val="0"/>
          <w:iCs w:val="0"/>
          <w:caps w:val="0"/>
          <w:color w:val="000000"/>
          <w:spacing w:val="0"/>
          <w:sz w:val="32"/>
          <w:szCs w:val="32"/>
          <w:highlight w:val="none"/>
          <w:shd w:val="clear" w:fill="FFFFFF"/>
          <w:lang w:val="en-US" w:eastAsia="zh"/>
        </w:rPr>
        <w:t>并</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达到</w:t>
      </w:r>
      <w:r>
        <w:rPr>
          <w:rFonts w:hint="eastAsia" w:ascii="仿宋_GB2312" w:hAnsi="仿宋_GB2312" w:eastAsia="仿宋_GB2312" w:cs="仿宋_GB2312"/>
          <w:i w:val="0"/>
          <w:iCs w:val="0"/>
          <w:caps w:val="0"/>
          <w:color w:val="000000"/>
          <w:spacing w:val="0"/>
          <w:sz w:val="32"/>
          <w:szCs w:val="32"/>
          <w:highlight w:val="none"/>
          <w:shd w:val="clear" w:fill="FFFFFF"/>
          <w:lang w:val="en-US" w:eastAsia="zh"/>
        </w:rPr>
        <w:t>规定的</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人数要求。</w:t>
      </w:r>
    </w:p>
    <w:p w14:paraId="7974DEE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2.</w:t>
      </w:r>
      <w:r>
        <w:rPr>
          <w:rFonts w:hint="eastAsia" w:ascii="仿宋_GB2312" w:hAnsi="仿宋_GB2312" w:eastAsia="仿宋_GB2312" w:cs="仿宋_GB2312"/>
          <w:i w:val="0"/>
          <w:iCs w:val="0"/>
          <w:caps w:val="0"/>
          <w:color w:val="000000"/>
          <w:spacing w:val="0"/>
          <w:sz w:val="32"/>
          <w:szCs w:val="32"/>
          <w:highlight w:val="none"/>
          <w:shd w:val="clear" w:fill="FFFFFF"/>
        </w:rPr>
        <w:t>成交供应商须严格按照有关规定，做好赛事活动的安保</w:t>
      </w:r>
      <w:r>
        <w:rPr>
          <w:rFonts w:hint="eastAsia" w:ascii="仿宋_GB2312" w:hAnsi="仿宋_GB2312" w:eastAsia="仿宋_GB2312" w:cs="仿宋_GB2312"/>
          <w:i w:val="0"/>
          <w:iCs w:val="0"/>
          <w:caps w:val="0"/>
          <w:color w:val="000000"/>
          <w:spacing w:val="0"/>
          <w:sz w:val="32"/>
          <w:szCs w:val="32"/>
          <w:highlight w:val="none"/>
          <w:shd w:val="clear" w:fill="FFFFFF"/>
          <w:lang w:eastAsia="zh"/>
        </w:rPr>
        <w:t>、</w:t>
      </w:r>
      <w:r>
        <w:rPr>
          <w:rFonts w:hint="eastAsia" w:ascii="仿宋_GB2312" w:hAnsi="仿宋_GB2312" w:eastAsia="仿宋_GB2312" w:cs="仿宋_GB2312"/>
          <w:i w:val="0"/>
          <w:iCs w:val="0"/>
          <w:caps w:val="0"/>
          <w:color w:val="000000"/>
          <w:spacing w:val="0"/>
          <w:sz w:val="32"/>
          <w:szCs w:val="32"/>
          <w:highlight w:val="none"/>
          <w:shd w:val="clear" w:fill="FFFFFF"/>
        </w:rPr>
        <w:t>医疗等组织保障。</w:t>
      </w:r>
    </w:p>
    <w:p w14:paraId="310B6E9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highlight w:val="none"/>
          <w:shd w:val="clear" w:fill="FFFFFF"/>
          <w:lang w:val="en" w:eastAsia="zh"/>
        </w:rPr>
      </w:pPr>
      <w:r>
        <w:rPr>
          <w:rFonts w:hint="eastAsia" w:ascii="仿宋_GB2312" w:hAnsi="仿宋_GB2312" w:eastAsia="仿宋_GB2312" w:cs="仿宋_GB2312"/>
          <w:i w:val="0"/>
          <w:iCs w:val="0"/>
          <w:caps w:val="0"/>
          <w:color w:val="000000"/>
          <w:spacing w:val="0"/>
          <w:sz w:val="32"/>
          <w:szCs w:val="32"/>
          <w:highlight w:val="none"/>
          <w:shd w:val="clear" w:fill="FFFFFF"/>
          <w:lang w:val="en"/>
        </w:rPr>
        <w:t>3.</w:t>
      </w:r>
      <w:r>
        <w:rPr>
          <w:rFonts w:hint="eastAsia" w:ascii="仿宋_GB2312" w:hAnsi="仿宋_GB2312" w:eastAsia="仿宋_GB2312" w:cs="仿宋_GB2312"/>
          <w:i w:val="0"/>
          <w:iCs w:val="0"/>
          <w:caps w:val="0"/>
          <w:color w:val="000000"/>
          <w:spacing w:val="0"/>
          <w:sz w:val="32"/>
          <w:szCs w:val="32"/>
          <w:highlight w:val="none"/>
          <w:shd w:val="clear" w:fill="FFFFFF"/>
          <w:lang w:val="en" w:eastAsia="zh"/>
        </w:rPr>
        <w:t>每场活动</w:t>
      </w:r>
      <w:r>
        <w:rPr>
          <w:rFonts w:hint="eastAsia" w:ascii="仿宋_GB2312" w:hAnsi="仿宋_GB2312" w:eastAsia="仿宋_GB2312" w:cs="仿宋_GB2312"/>
          <w:i w:val="0"/>
          <w:iCs w:val="0"/>
          <w:caps w:val="0"/>
          <w:color w:val="000000"/>
          <w:spacing w:val="0"/>
          <w:sz w:val="32"/>
          <w:szCs w:val="32"/>
          <w:highlight w:val="none"/>
          <w:shd w:val="clear" w:fill="FFFFFF"/>
          <w:lang w:val="en" w:eastAsia="zh-CN"/>
        </w:rPr>
        <w:t>成交</w:t>
      </w:r>
      <w:r>
        <w:rPr>
          <w:rFonts w:hint="eastAsia" w:ascii="仿宋_GB2312" w:hAnsi="仿宋_GB2312" w:eastAsia="仿宋_GB2312" w:cs="仿宋_GB2312"/>
          <w:i w:val="0"/>
          <w:iCs w:val="0"/>
          <w:caps w:val="0"/>
          <w:color w:val="000000"/>
          <w:spacing w:val="0"/>
          <w:sz w:val="32"/>
          <w:szCs w:val="32"/>
          <w:highlight w:val="none"/>
          <w:shd w:val="clear" w:fill="FFFFFF"/>
          <w:lang w:val="en" w:eastAsia="zh"/>
        </w:rPr>
        <w:t>供应商须购买公众责任险。</w:t>
      </w:r>
    </w:p>
    <w:p w14:paraId="4C4F00A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3" w:firstLineChars="200"/>
        <w:jc w:val="both"/>
        <w:textAlignment w:val="auto"/>
        <w:rPr>
          <w:rFonts w:hint="eastAsia" w:ascii="楷体_GB2312" w:hAnsi="楷体_GB2312" w:eastAsia="楷体_GB2312" w:cs="楷体_GB2312"/>
          <w:b/>
          <w:bCs/>
          <w:i w:val="0"/>
          <w:iCs w:val="0"/>
          <w:caps w:val="0"/>
          <w:color w:val="000000"/>
          <w:spacing w:val="0"/>
          <w:kern w:val="2"/>
          <w:sz w:val="32"/>
          <w:szCs w:val="32"/>
          <w:highlight w:val="none"/>
          <w:shd w:val="clear" w:fill="FFFFFF"/>
          <w:lang w:val="en-US" w:eastAsia="zh-CN" w:bidi="ar-SA"/>
        </w:rPr>
      </w:pPr>
      <w:r>
        <w:rPr>
          <w:rFonts w:hint="eastAsia" w:ascii="楷体_GB2312" w:hAnsi="楷体_GB2312" w:eastAsia="楷体_GB2312" w:cs="楷体_GB2312"/>
          <w:b/>
          <w:bCs/>
          <w:i w:val="0"/>
          <w:iCs w:val="0"/>
          <w:caps w:val="0"/>
          <w:color w:val="000000"/>
          <w:spacing w:val="0"/>
          <w:kern w:val="2"/>
          <w:sz w:val="32"/>
          <w:szCs w:val="32"/>
          <w:highlight w:val="none"/>
          <w:shd w:val="clear" w:fill="FFFFFF"/>
          <w:lang w:val="en-US" w:eastAsia="zh-CN" w:bidi="ar-SA"/>
        </w:rPr>
        <w:t>（六）参赛纪念品标准</w:t>
      </w:r>
    </w:p>
    <w:p w14:paraId="6561CDA3">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i w:val="0"/>
          <w:iCs w:val="0"/>
          <w:caps w:val="0"/>
          <w:color w:val="404040"/>
          <w:spacing w:val="0"/>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lang w:eastAsia="zh"/>
        </w:rPr>
        <w:t>每场活动需为参赛人员发放完赛纪念品，</w:t>
      </w:r>
      <w:r>
        <w:rPr>
          <w:rFonts w:hint="eastAsia" w:ascii="仿宋_GB2312" w:hAnsi="仿宋_GB2312" w:eastAsia="仿宋_GB2312" w:cs="仿宋_GB2312"/>
          <w:i w:val="0"/>
          <w:iCs w:val="0"/>
          <w:caps w:val="0"/>
          <w:color w:val="000000"/>
          <w:spacing w:val="0"/>
          <w:sz w:val="32"/>
          <w:szCs w:val="32"/>
          <w:highlight w:val="none"/>
          <w:shd w:val="clear" w:fill="FFFFFF"/>
        </w:rPr>
        <w:t>每份标准平均不低于</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20</w:t>
      </w:r>
      <w:r>
        <w:rPr>
          <w:rFonts w:hint="eastAsia" w:ascii="仿宋_GB2312" w:hAnsi="仿宋_GB2312" w:eastAsia="仿宋_GB2312" w:cs="仿宋_GB2312"/>
          <w:i w:val="0"/>
          <w:iCs w:val="0"/>
          <w:caps w:val="0"/>
          <w:color w:val="000000"/>
          <w:spacing w:val="0"/>
          <w:sz w:val="32"/>
          <w:szCs w:val="32"/>
          <w:highlight w:val="none"/>
          <w:shd w:val="clear" w:fill="FFFFFF"/>
        </w:rPr>
        <w:t>元/人。</w:t>
      </w:r>
    </w:p>
    <w:p w14:paraId="1E8686F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3" w:firstLineChars="200"/>
        <w:jc w:val="both"/>
        <w:textAlignment w:val="auto"/>
        <w:rPr>
          <w:rFonts w:hint="eastAsia" w:ascii="楷体_GB2312" w:hAnsi="楷体_GB2312" w:eastAsia="楷体_GB2312" w:cs="楷体_GB2312"/>
          <w:b/>
          <w:bCs/>
          <w:i w:val="0"/>
          <w:iCs w:val="0"/>
          <w:caps w:val="0"/>
          <w:color w:val="000000"/>
          <w:spacing w:val="0"/>
          <w:kern w:val="2"/>
          <w:sz w:val="32"/>
          <w:szCs w:val="32"/>
          <w:highlight w:val="none"/>
          <w:shd w:val="clear" w:fill="FFFFFF"/>
          <w:lang w:val="en-US" w:eastAsia="zh-CN" w:bidi="ar-SA"/>
        </w:rPr>
      </w:pPr>
      <w:r>
        <w:rPr>
          <w:rFonts w:hint="eastAsia" w:ascii="楷体_GB2312" w:hAnsi="楷体_GB2312" w:eastAsia="楷体_GB2312" w:cs="楷体_GB2312"/>
          <w:b/>
          <w:bCs/>
          <w:i w:val="0"/>
          <w:iCs w:val="0"/>
          <w:caps w:val="0"/>
          <w:color w:val="000000"/>
          <w:spacing w:val="0"/>
          <w:kern w:val="2"/>
          <w:sz w:val="32"/>
          <w:szCs w:val="32"/>
          <w:highlight w:val="none"/>
          <w:shd w:val="clear" w:fill="FFFFFF"/>
          <w:lang w:val="en-US" w:eastAsia="zh-CN" w:bidi="ar-SA"/>
        </w:rPr>
        <w:t>（七）医疗及应急能力</w:t>
      </w:r>
    </w:p>
    <w:p w14:paraId="6DD6C67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iCs w:val="0"/>
          <w:caps w:val="0"/>
          <w:color w:val="404040"/>
          <w:spacing w:val="0"/>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赛事活动期间应配备1名</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全科医生</w:t>
      </w:r>
      <w:r>
        <w:rPr>
          <w:rFonts w:hint="eastAsia" w:ascii="仿宋_GB2312" w:hAnsi="仿宋_GB2312" w:eastAsia="仿宋_GB2312" w:cs="仿宋_GB2312"/>
          <w:i w:val="0"/>
          <w:iCs w:val="0"/>
          <w:caps w:val="0"/>
          <w:color w:val="000000"/>
          <w:spacing w:val="0"/>
          <w:sz w:val="32"/>
          <w:szCs w:val="32"/>
          <w:highlight w:val="none"/>
          <w:shd w:val="clear" w:fill="FFFFFF"/>
        </w:rPr>
        <w:t>，配备急救药品。</w:t>
      </w:r>
    </w:p>
    <w:p w14:paraId="71E20677">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i w:val="0"/>
          <w:iCs w:val="0"/>
          <w:caps w:val="0"/>
          <w:color w:val="000000"/>
          <w:spacing w:val="0"/>
          <w:kern w:val="0"/>
          <w:sz w:val="32"/>
          <w:szCs w:val="32"/>
          <w:highlight w:val="none"/>
          <w:shd w:val="clear" w:fill="FFFFFF"/>
          <w:lang w:val="en-US" w:eastAsia="zh-CN" w:bidi="ar"/>
        </w:rPr>
      </w:pPr>
      <w:r>
        <w:rPr>
          <w:rFonts w:hint="eastAsia" w:ascii="黑体" w:hAnsi="黑体" w:eastAsia="黑体" w:cs="黑体"/>
          <w:i w:val="0"/>
          <w:iCs w:val="0"/>
          <w:caps w:val="0"/>
          <w:color w:val="000000"/>
          <w:spacing w:val="0"/>
          <w:kern w:val="0"/>
          <w:sz w:val="32"/>
          <w:szCs w:val="32"/>
          <w:highlight w:val="none"/>
          <w:shd w:val="clear" w:fill="FFFFFF"/>
          <w:lang w:val="en-US" w:eastAsia="zh-CN" w:bidi="ar"/>
        </w:rPr>
        <w:t>八、报价要求</w:t>
      </w:r>
    </w:p>
    <w:p w14:paraId="353DF11F">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投标报价为完成本项目的所有相关费用，包括但不限于利润、税费等，采购人不再为此项目增加任何费用，供应商需自行考虑风险，谨慎报价。</w:t>
      </w:r>
    </w:p>
    <w:p w14:paraId="7A8AE7FE">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i w:val="0"/>
          <w:iCs w:val="0"/>
          <w:caps w:val="0"/>
          <w:color w:val="000000"/>
          <w:spacing w:val="0"/>
          <w:kern w:val="0"/>
          <w:sz w:val="32"/>
          <w:szCs w:val="32"/>
          <w:highlight w:val="none"/>
          <w:shd w:val="clear" w:fill="FFFFFF"/>
          <w:lang w:val="en-US" w:eastAsia="zh-CN" w:bidi="ar"/>
        </w:rPr>
      </w:pPr>
      <w:r>
        <w:rPr>
          <w:rFonts w:hint="eastAsia" w:ascii="黑体" w:hAnsi="黑体" w:eastAsia="黑体" w:cs="黑体"/>
          <w:i w:val="0"/>
          <w:iCs w:val="0"/>
          <w:caps w:val="0"/>
          <w:color w:val="000000"/>
          <w:spacing w:val="0"/>
          <w:kern w:val="0"/>
          <w:sz w:val="32"/>
          <w:szCs w:val="32"/>
          <w:highlight w:val="none"/>
          <w:shd w:val="clear" w:fill="FFFFFF"/>
          <w:lang w:val="en-US" w:eastAsia="zh-CN" w:bidi="ar"/>
        </w:rPr>
        <w:t>九、其他要求</w:t>
      </w:r>
    </w:p>
    <w:p w14:paraId="147E2420">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1.赛事活动应有开赛仪式（邀请领导嘉宾、背景板、音响、话筒、音乐等），并邀请不少于2家新闻媒体到现场进行宣传报道。</w:t>
      </w:r>
    </w:p>
    <w:p w14:paraId="2C009138">
      <w:pPr>
        <w:keepNext w:val="0"/>
        <w:keepLines w:val="0"/>
        <w:pageBreakBefore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
        </w:rPr>
      </w:pPr>
      <w:r>
        <w:rPr>
          <w:rFonts w:hint="eastAsia" w:ascii="仿宋_GB2312" w:hAnsi="仿宋_GB2312" w:eastAsia="仿宋_GB2312" w:cs="仿宋_GB2312"/>
          <w:color w:val="auto"/>
          <w:sz w:val="32"/>
          <w:szCs w:val="32"/>
          <w:highlight w:val="none"/>
          <w:lang w:val="en-US" w:eastAsia="zh-CN"/>
        </w:rPr>
        <w:t>2.赛事活动结束后15天内，成交供应商须将赛事工作总结2份（A4幅面）送交庐阳区教育体育局，同时提交高质量照片不少于110张，高清录像不少于35分钟。</w:t>
      </w:r>
      <w:r>
        <w:rPr>
          <w:rFonts w:hint="eastAsia" w:ascii="仿宋_GB2312" w:hAnsi="仿宋_GB2312" w:eastAsia="仿宋_GB2312" w:cs="仿宋_GB2312"/>
          <w:color w:val="auto"/>
          <w:sz w:val="32"/>
          <w:szCs w:val="32"/>
          <w:highlight w:val="none"/>
          <w:lang w:val="en-US" w:eastAsia="zh"/>
        </w:rPr>
        <w:t xml:space="preserve"> </w:t>
      </w:r>
    </w:p>
    <w:p w14:paraId="71956F8E">
      <w:pPr>
        <w:keepNext w:val="0"/>
        <w:keepLines w:val="0"/>
        <w:pageBreakBefore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lang w:val="en" w:eastAsia="zh"/>
        </w:rPr>
        <w:t>3.</w:t>
      </w:r>
      <w:r>
        <w:rPr>
          <w:rFonts w:hint="eastAsia" w:ascii="仿宋_GB2312" w:hAnsi="仿宋_GB2312" w:eastAsia="仿宋_GB2312" w:cs="仿宋_GB2312"/>
          <w:color w:val="auto"/>
          <w:sz w:val="32"/>
          <w:szCs w:val="32"/>
          <w:highlight w:val="none"/>
          <w:shd w:val="clear" w:color="auto" w:fill="FFFFFF"/>
        </w:rPr>
        <w:t>采购人对成交供应商服务质量进行全过程监督，成交供应商工作不到位、不达标或有违约现象，将依据合同约定，作出相应的违约处理。</w:t>
      </w:r>
    </w:p>
    <w:p w14:paraId="220A5DE7">
      <w:pPr>
        <w:keepNext w:val="0"/>
        <w:keepLines w:val="0"/>
        <w:pageBreakBefore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lang w:val="en"/>
        </w:rPr>
        <w:t>4.</w:t>
      </w:r>
      <w:r>
        <w:rPr>
          <w:rFonts w:hint="eastAsia" w:ascii="仿宋_GB2312" w:hAnsi="仿宋_GB2312" w:eastAsia="仿宋_GB2312" w:cs="仿宋_GB2312"/>
          <w:color w:val="auto"/>
          <w:sz w:val="32"/>
          <w:szCs w:val="32"/>
          <w:highlight w:val="none"/>
          <w:shd w:val="clear" w:color="auto" w:fill="FFFFFF"/>
        </w:rPr>
        <w:t>项目服务人员在岗履行工作职责期间，发生一切人身伤害、伤亡，均由成交供应商负责处理并承担相关法律责任。</w:t>
      </w:r>
    </w:p>
    <w:p w14:paraId="1974432A">
      <w:pPr>
        <w:keepNext w:val="0"/>
        <w:keepLines w:val="0"/>
        <w:pageBreakBefore w:val="0"/>
        <w:kinsoku/>
        <w:wordWrap/>
        <w:overflowPunct/>
        <w:topLinePunct w:val="0"/>
        <w:autoSpaceDE/>
        <w:autoSpaceDN/>
        <w:bidi w:val="0"/>
        <w:spacing w:line="52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lang w:val="en"/>
        </w:rPr>
        <w:t>5.</w:t>
      </w:r>
      <w:r>
        <w:rPr>
          <w:rFonts w:hint="eastAsia" w:ascii="仿宋_GB2312" w:hAnsi="仿宋_GB2312" w:eastAsia="仿宋_GB2312" w:cs="仿宋_GB2312"/>
          <w:color w:val="auto"/>
          <w:sz w:val="32"/>
          <w:szCs w:val="32"/>
          <w:highlight w:val="none"/>
          <w:shd w:val="clear" w:color="auto" w:fill="FFFFFF"/>
        </w:rPr>
        <w:t>成交供应商违反国家相关法规，与聘用人员发生纠纷，均由成交供应商负责调解与处理并承担相关法律责任。</w:t>
      </w:r>
    </w:p>
    <w:p w14:paraId="3E5A635F">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i w:val="0"/>
          <w:iCs w:val="0"/>
          <w:caps w:val="0"/>
          <w:color w:val="000000"/>
          <w:spacing w:val="0"/>
          <w:kern w:val="0"/>
          <w:sz w:val="32"/>
          <w:szCs w:val="32"/>
          <w:highlight w:val="none"/>
          <w:shd w:val="clear" w:fill="FFFFFF"/>
          <w:lang w:val="en-US" w:eastAsia="zh-CN" w:bidi="ar"/>
        </w:rPr>
      </w:pPr>
      <w:bookmarkStart w:id="0" w:name="_Toc63584177"/>
      <w:r>
        <w:rPr>
          <w:rFonts w:hint="eastAsia" w:ascii="黑体" w:hAnsi="黑体" w:eastAsia="黑体" w:cs="黑体"/>
          <w:i w:val="0"/>
          <w:iCs w:val="0"/>
          <w:caps w:val="0"/>
          <w:color w:val="000000"/>
          <w:spacing w:val="0"/>
          <w:kern w:val="0"/>
          <w:sz w:val="32"/>
          <w:szCs w:val="32"/>
          <w:highlight w:val="none"/>
          <w:shd w:val="clear" w:fill="FFFFFF"/>
          <w:lang w:val="en-US" w:eastAsia="zh-CN" w:bidi="ar"/>
        </w:rPr>
        <w:t>十</w:t>
      </w:r>
      <w:r>
        <w:rPr>
          <w:rFonts w:hint="eastAsia" w:ascii="黑体" w:hAnsi="黑体" w:eastAsia="黑体" w:cs="黑体"/>
          <w:i w:val="0"/>
          <w:iCs w:val="0"/>
          <w:caps w:val="0"/>
          <w:color w:val="000000"/>
          <w:spacing w:val="0"/>
          <w:kern w:val="0"/>
          <w:sz w:val="32"/>
          <w:szCs w:val="32"/>
          <w:highlight w:val="none"/>
          <w:shd w:val="clear" w:fill="FFFFFF"/>
          <w:lang w:val="en-US" w:eastAsia="zh" w:bidi="ar"/>
        </w:rPr>
        <w:t>、</w:t>
      </w:r>
      <w:r>
        <w:rPr>
          <w:rFonts w:hint="eastAsia" w:ascii="黑体" w:hAnsi="黑体" w:eastAsia="黑体" w:cs="黑体"/>
          <w:i w:val="0"/>
          <w:iCs w:val="0"/>
          <w:caps w:val="0"/>
          <w:color w:val="000000"/>
          <w:spacing w:val="0"/>
          <w:kern w:val="0"/>
          <w:sz w:val="32"/>
          <w:szCs w:val="32"/>
          <w:highlight w:val="none"/>
          <w:shd w:val="clear" w:fill="FFFFFF"/>
          <w:lang w:val="en-US" w:eastAsia="zh-CN" w:bidi="ar"/>
        </w:rPr>
        <w:t>评审方法和标准</w:t>
      </w:r>
      <w:bookmarkEnd w:id="0"/>
    </w:p>
    <w:p w14:paraId="2E731BD8">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both"/>
        <w:textAlignment w:val="auto"/>
        <w:rPr>
          <w:rFonts w:hint="eastAsia" w:ascii="楷体_GB2312" w:hAnsi="楷体_GB2312" w:eastAsia="楷体_GB2312" w:cs="楷体_GB2312"/>
          <w:b/>
          <w:bCs/>
          <w:i w:val="0"/>
          <w:iCs w:val="0"/>
          <w:caps w:val="0"/>
          <w:color w:val="000000"/>
          <w:spacing w:val="0"/>
          <w:kern w:val="0"/>
          <w:sz w:val="32"/>
          <w:szCs w:val="32"/>
          <w:highlight w:val="none"/>
          <w:shd w:val="clear" w:fill="FFFFFF"/>
          <w:lang w:val="en-US" w:eastAsia="zh-CN" w:bidi="ar"/>
        </w:rPr>
      </w:pPr>
      <w:r>
        <w:rPr>
          <w:rFonts w:hint="eastAsia" w:ascii="楷体_GB2312" w:hAnsi="楷体_GB2312" w:eastAsia="楷体_GB2312" w:cs="楷体_GB2312"/>
          <w:b/>
          <w:bCs/>
          <w:i w:val="0"/>
          <w:iCs w:val="0"/>
          <w:caps w:val="0"/>
          <w:color w:val="000000"/>
          <w:spacing w:val="0"/>
          <w:kern w:val="0"/>
          <w:sz w:val="32"/>
          <w:szCs w:val="32"/>
          <w:highlight w:val="none"/>
          <w:shd w:val="clear" w:fill="FFFFFF"/>
          <w:lang w:val="en-US" w:eastAsia="zh" w:bidi="ar"/>
        </w:rPr>
        <w:t>（一）</w:t>
      </w:r>
      <w:r>
        <w:rPr>
          <w:rFonts w:hint="eastAsia" w:ascii="楷体_GB2312" w:hAnsi="楷体_GB2312" w:eastAsia="楷体_GB2312" w:cs="楷体_GB2312"/>
          <w:b/>
          <w:bCs/>
          <w:i w:val="0"/>
          <w:iCs w:val="0"/>
          <w:caps w:val="0"/>
          <w:color w:val="000000"/>
          <w:spacing w:val="0"/>
          <w:kern w:val="0"/>
          <w:sz w:val="32"/>
          <w:szCs w:val="32"/>
          <w:highlight w:val="none"/>
          <w:shd w:val="clear" w:fill="FFFFFF"/>
          <w:lang w:val="en-US" w:eastAsia="zh-CN" w:bidi="ar"/>
        </w:rPr>
        <w:t>总则</w:t>
      </w:r>
    </w:p>
    <w:p w14:paraId="4B2A848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iCs w:val="0"/>
          <w:caps w:val="0"/>
          <w:color w:val="404040"/>
          <w:spacing w:val="0"/>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评标工作遵循公平、公正、科学、择优原则和诚实、信誉、效率的服务原则。本着科学、严谨的态度，认真进行评标。对落标单位，</w:t>
      </w:r>
      <w:r>
        <w:rPr>
          <w:rFonts w:hint="eastAsia" w:ascii="仿宋_GB2312" w:hAnsi="仿宋_GB2312" w:eastAsia="仿宋_GB2312" w:cs="仿宋_GB2312"/>
          <w:i w:val="0"/>
          <w:iCs w:val="0"/>
          <w:caps w:val="0"/>
          <w:color w:val="000000"/>
          <w:spacing w:val="0"/>
          <w:sz w:val="32"/>
          <w:szCs w:val="32"/>
          <w:highlight w:val="none"/>
          <w:shd w:val="clear" w:fill="FFFFFF"/>
          <w:lang w:eastAsia="zh-CN"/>
        </w:rPr>
        <w:t>评标委员会</w:t>
      </w:r>
      <w:r>
        <w:rPr>
          <w:rFonts w:hint="eastAsia" w:ascii="仿宋_GB2312" w:hAnsi="仿宋_GB2312" w:eastAsia="仿宋_GB2312" w:cs="仿宋_GB2312"/>
          <w:i w:val="0"/>
          <w:iCs w:val="0"/>
          <w:caps w:val="0"/>
          <w:color w:val="000000"/>
          <w:spacing w:val="0"/>
          <w:sz w:val="32"/>
          <w:szCs w:val="32"/>
          <w:highlight w:val="none"/>
          <w:shd w:val="clear" w:fill="FFFFFF"/>
        </w:rPr>
        <w:t>不作任何落标解释。投标人不得以任何方式干扰招投标工作的进行，一经发现其投标文件将被拒绝。</w:t>
      </w:r>
    </w:p>
    <w:p w14:paraId="553AFBD2">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both"/>
        <w:textAlignment w:val="auto"/>
        <w:rPr>
          <w:rFonts w:hint="eastAsia" w:ascii="楷体_GB2312" w:hAnsi="楷体_GB2312" w:eastAsia="楷体_GB2312" w:cs="楷体_GB2312"/>
          <w:b/>
          <w:bCs/>
          <w:i w:val="0"/>
          <w:iCs w:val="0"/>
          <w:caps w:val="0"/>
          <w:color w:val="000000"/>
          <w:spacing w:val="0"/>
          <w:kern w:val="0"/>
          <w:sz w:val="32"/>
          <w:szCs w:val="32"/>
          <w:highlight w:val="none"/>
          <w:shd w:val="clear" w:fill="FFFFFF"/>
          <w:lang w:val="en-US" w:eastAsia="zh-CN" w:bidi="ar"/>
        </w:rPr>
      </w:pPr>
      <w:r>
        <w:rPr>
          <w:rFonts w:hint="eastAsia" w:ascii="楷体_GB2312" w:hAnsi="楷体_GB2312" w:eastAsia="楷体_GB2312" w:cs="楷体_GB2312"/>
          <w:b/>
          <w:bCs/>
          <w:i w:val="0"/>
          <w:iCs w:val="0"/>
          <w:caps w:val="0"/>
          <w:color w:val="000000"/>
          <w:spacing w:val="0"/>
          <w:kern w:val="0"/>
          <w:sz w:val="32"/>
          <w:szCs w:val="32"/>
          <w:highlight w:val="none"/>
          <w:shd w:val="clear" w:fill="FFFFFF"/>
          <w:lang w:val="en-US" w:eastAsia="zh" w:bidi="ar"/>
        </w:rPr>
        <w:t>（二）</w:t>
      </w:r>
      <w:r>
        <w:rPr>
          <w:rFonts w:hint="eastAsia" w:ascii="楷体_GB2312" w:hAnsi="楷体_GB2312" w:eastAsia="楷体_GB2312" w:cs="楷体_GB2312"/>
          <w:b/>
          <w:bCs/>
          <w:i w:val="0"/>
          <w:iCs w:val="0"/>
          <w:caps w:val="0"/>
          <w:color w:val="000000"/>
          <w:spacing w:val="0"/>
          <w:kern w:val="0"/>
          <w:sz w:val="32"/>
          <w:szCs w:val="32"/>
          <w:highlight w:val="none"/>
          <w:shd w:val="clear" w:fill="FFFFFF"/>
          <w:lang w:val="en-US" w:eastAsia="zh-CN" w:bidi="ar"/>
        </w:rPr>
        <w:t>评标组织</w:t>
      </w:r>
    </w:p>
    <w:p w14:paraId="740AFB6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iCs w:val="0"/>
          <w:caps w:val="0"/>
          <w:color w:val="404040"/>
          <w:spacing w:val="0"/>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采购方依法组建由3人及以上奇数的人员组成的</w:t>
      </w:r>
      <w:r>
        <w:rPr>
          <w:rFonts w:hint="eastAsia" w:ascii="仿宋_GB2312" w:hAnsi="仿宋_GB2312" w:eastAsia="仿宋_GB2312" w:cs="仿宋_GB2312"/>
          <w:i w:val="0"/>
          <w:iCs w:val="0"/>
          <w:caps w:val="0"/>
          <w:color w:val="000000"/>
          <w:spacing w:val="0"/>
          <w:sz w:val="32"/>
          <w:szCs w:val="32"/>
          <w:highlight w:val="none"/>
          <w:shd w:val="clear" w:fill="FFFFFF"/>
          <w:lang w:eastAsia="zh-CN"/>
        </w:rPr>
        <w:t>评标委员会</w:t>
      </w:r>
      <w:r>
        <w:rPr>
          <w:rFonts w:hint="eastAsia" w:ascii="仿宋_GB2312" w:hAnsi="仿宋_GB2312" w:eastAsia="仿宋_GB2312" w:cs="仿宋_GB2312"/>
          <w:i w:val="0"/>
          <w:iCs w:val="0"/>
          <w:caps w:val="0"/>
          <w:color w:val="000000"/>
          <w:spacing w:val="0"/>
          <w:sz w:val="32"/>
          <w:szCs w:val="32"/>
          <w:highlight w:val="none"/>
          <w:shd w:val="clear" w:fill="FFFFFF"/>
        </w:rPr>
        <w:t>，负责对投标文件进行审查、质询、评审和比较等。</w:t>
      </w:r>
    </w:p>
    <w:p w14:paraId="5BB1172E">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both"/>
        <w:textAlignment w:val="auto"/>
        <w:rPr>
          <w:rFonts w:hint="eastAsia" w:ascii="楷体_GB2312" w:hAnsi="楷体_GB2312" w:eastAsia="楷体_GB2312" w:cs="楷体_GB2312"/>
          <w:b/>
          <w:bCs/>
          <w:i w:val="0"/>
          <w:iCs w:val="0"/>
          <w:caps w:val="0"/>
          <w:color w:val="000000"/>
          <w:spacing w:val="0"/>
          <w:kern w:val="0"/>
          <w:sz w:val="32"/>
          <w:szCs w:val="32"/>
          <w:highlight w:val="none"/>
          <w:shd w:val="clear" w:fill="FFFFFF"/>
          <w:lang w:val="en-US" w:eastAsia="zh-CN" w:bidi="ar"/>
        </w:rPr>
      </w:pPr>
      <w:r>
        <w:rPr>
          <w:rFonts w:hint="eastAsia" w:ascii="楷体_GB2312" w:hAnsi="楷体_GB2312" w:eastAsia="楷体_GB2312" w:cs="楷体_GB2312"/>
          <w:b/>
          <w:bCs/>
          <w:i w:val="0"/>
          <w:iCs w:val="0"/>
          <w:caps w:val="0"/>
          <w:color w:val="000000"/>
          <w:spacing w:val="0"/>
          <w:kern w:val="0"/>
          <w:sz w:val="32"/>
          <w:szCs w:val="32"/>
          <w:highlight w:val="none"/>
          <w:shd w:val="clear" w:fill="FFFFFF"/>
          <w:lang w:val="en-US" w:eastAsia="zh" w:bidi="ar"/>
        </w:rPr>
        <w:t>（三）</w:t>
      </w:r>
      <w:r>
        <w:rPr>
          <w:rFonts w:hint="eastAsia" w:ascii="楷体_GB2312" w:hAnsi="楷体_GB2312" w:eastAsia="楷体_GB2312" w:cs="楷体_GB2312"/>
          <w:b/>
          <w:bCs/>
          <w:i w:val="0"/>
          <w:iCs w:val="0"/>
          <w:caps w:val="0"/>
          <w:color w:val="000000"/>
          <w:spacing w:val="0"/>
          <w:kern w:val="0"/>
          <w:sz w:val="32"/>
          <w:szCs w:val="32"/>
          <w:highlight w:val="none"/>
          <w:shd w:val="clear" w:fill="FFFFFF"/>
          <w:lang w:val="en-US" w:eastAsia="zh-CN" w:bidi="ar"/>
        </w:rPr>
        <w:t>评标原则</w:t>
      </w:r>
    </w:p>
    <w:p w14:paraId="0EB293A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iCs w:val="0"/>
          <w:caps w:val="0"/>
          <w:color w:val="404040"/>
          <w:spacing w:val="0"/>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lang w:val="en" w:eastAsia="zh-CN"/>
        </w:rPr>
        <w:t>1.</w:t>
      </w:r>
      <w:r>
        <w:rPr>
          <w:rFonts w:hint="eastAsia" w:ascii="仿宋_GB2312" w:hAnsi="仿宋_GB2312" w:eastAsia="仿宋_GB2312" w:cs="仿宋_GB2312"/>
          <w:i w:val="0"/>
          <w:iCs w:val="0"/>
          <w:caps w:val="0"/>
          <w:color w:val="000000"/>
          <w:spacing w:val="0"/>
          <w:sz w:val="32"/>
          <w:szCs w:val="32"/>
          <w:highlight w:val="none"/>
          <w:shd w:val="clear" w:fill="FFFFFF"/>
        </w:rPr>
        <w:t>竞争优选；</w:t>
      </w:r>
    </w:p>
    <w:p w14:paraId="298E0E9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iCs w:val="0"/>
          <w:caps w:val="0"/>
          <w:color w:val="404040"/>
          <w:spacing w:val="0"/>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lang w:val="en" w:eastAsia="zh-CN"/>
        </w:rPr>
        <w:t>2.</w:t>
      </w:r>
      <w:r>
        <w:rPr>
          <w:rFonts w:hint="eastAsia" w:ascii="仿宋_GB2312" w:hAnsi="仿宋_GB2312" w:eastAsia="仿宋_GB2312" w:cs="仿宋_GB2312"/>
          <w:i w:val="0"/>
          <w:iCs w:val="0"/>
          <w:caps w:val="0"/>
          <w:color w:val="000000"/>
          <w:spacing w:val="0"/>
          <w:sz w:val="32"/>
          <w:szCs w:val="32"/>
          <w:highlight w:val="none"/>
          <w:shd w:val="clear" w:fill="FFFFFF"/>
        </w:rPr>
        <w:t>坚持公开、公平、公正、科学合理的原则；</w:t>
      </w:r>
    </w:p>
    <w:p w14:paraId="0487506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iCs w:val="0"/>
          <w:caps w:val="0"/>
          <w:color w:val="404040"/>
          <w:spacing w:val="0"/>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lang w:val="en" w:eastAsia="zh-CN"/>
        </w:rPr>
        <w:t>3.</w:t>
      </w:r>
      <w:r>
        <w:rPr>
          <w:rFonts w:hint="eastAsia" w:ascii="仿宋_GB2312" w:hAnsi="仿宋_GB2312" w:eastAsia="仿宋_GB2312" w:cs="仿宋_GB2312"/>
          <w:i w:val="0"/>
          <w:iCs w:val="0"/>
          <w:caps w:val="0"/>
          <w:color w:val="000000"/>
          <w:spacing w:val="0"/>
          <w:sz w:val="32"/>
          <w:szCs w:val="32"/>
          <w:highlight w:val="none"/>
          <w:shd w:val="clear" w:fill="FFFFFF"/>
        </w:rPr>
        <w:t>价格合理，方案、产品先进可行；</w:t>
      </w:r>
    </w:p>
    <w:p w14:paraId="265A1D7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iCs w:val="0"/>
          <w:caps w:val="0"/>
          <w:color w:val="404040"/>
          <w:spacing w:val="0"/>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lang w:val="en" w:eastAsia="zh-CN"/>
        </w:rPr>
        <w:t>4.</w:t>
      </w:r>
      <w:r>
        <w:rPr>
          <w:rFonts w:hint="eastAsia" w:ascii="仿宋_GB2312" w:hAnsi="仿宋_GB2312" w:eastAsia="仿宋_GB2312" w:cs="仿宋_GB2312"/>
          <w:i w:val="0"/>
          <w:iCs w:val="0"/>
          <w:caps w:val="0"/>
          <w:color w:val="000000"/>
          <w:spacing w:val="0"/>
          <w:sz w:val="32"/>
          <w:szCs w:val="32"/>
          <w:highlight w:val="none"/>
          <w:shd w:val="clear" w:fill="FFFFFF"/>
        </w:rPr>
        <w:t>反对不正当竞争。</w:t>
      </w:r>
    </w:p>
    <w:p w14:paraId="2992DD79">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both"/>
        <w:textAlignment w:val="auto"/>
        <w:rPr>
          <w:rFonts w:hint="eastAsia" w:ascii="楷体_GB2312" w:hAnsi="楷体_GB2312" w:eastAsia="楷体_GB2312" w:cs="楷体_GB2312"/>
          <w:b/>
          <w:bCs/>
          <w:i w:val="0"/>
          <w:iCs w:val="0"/>
          <w:caps w:val="0"/>
          <w:color w:val="000000"/>
          <w:spacing w:val="0"/>
          <w:kern w:val="0"/>
          <w:sz w:val="32"/>
          <w:szCs w:val="32"/>
          <w:highlight w:val="none"/>
          <w:shd w:val="clear" w:fill="FFFFFF"/>
          <w:lang w:val="en-US" w:eastAsia="zh-CN" w:bidi="ar"/>
        </w:rPr>
      </w:pPr>
      <w:r>
        <w:rPr>
          <w:rFonts w:hint="eastAsia" w:ascii="楷体_GB2312" w:hAnsi="楷体_GB2312" w:eastAsia="楷体_GB2312" w:cs="楷体_GB2312"/>
          <w:b/>
          <w:bCs/>
          <w:i w:val="0"/>
          <w:iCs w:val="0"/>
          <w:caps w:val="0"/>
          <w:color w:val="000000"/>
          <w:spacing w:val="0"/>
          <w:kern w:val="0"/>
          <w:sz w:val="32"/>
          <w:szCs w:val="32"/>
          <w:highlight w:val="none"/>
          <w:shd w:val="clear" w:fill="FFFFFF"/>
          <w:lang w:val="en-US" w:eastAsia="zh" w:bidi="ar"/>
        </w:rPr>
        <w:t>（四）</w:t>
      </w:r>
      <w:r>
        <w:rPr>
          <w:rFonts w:hint="eastAsia" w:ascii="楷体_GB2312" w:hAnsi="楷体_GB2312" w:eastAsia="楷体_GB2312" w:cs="楷体_GB2312"/>
          <w:b/>
          <w:bCs/>
          <w:i w:val="0"/>
          <w:iCs w:val="0"/>
          <w:caps w:val="0"/>
          <w:color w:val="000000"/>
          <w:spacing w:val="0"/>
          <w:kern w:val="0"/>
          <w:sz w:val="32"/>
          <w:szCs w:val="32"/>
          <w:highlight w:val="none"/>
          <w:shd w:val="clear" w:fill="FFFFFF"/>
          <w:lang w:val="en-US" w:eastAsia="zh-CN" w:bidi="ar"/>
        </w:rPr>
        <w:t>投标文件审查</w:t>
      </w:r>
    </w:p>
    <w:p w14:paraId="623371D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iCs w:val="0"/>
          <w:caps w:val="0"/>
          <w:color w:val="404040"/>
          <w:spacing w:val="0"/>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lang w:val="en" w:eastAsia="zh-CN"/>
        </w:rPr>
        <w:t>1.</w:t>
      </w:r>
      <w:r>
        <w:rPr>
          <w:rFonts w:hint="eastAsia" w:ascii="仿宋_GB2312" w:hAnsi="仿宋_GB2312" w:eastAsia="仿宋_GB2312" w:cs="仿宋_GB2312"/>
          <w:i w:val="0"/>
          <w:iCs w:val="0"/>
          <w:caps w:val="0"/>
          <w:color w:val="000000"/>
          <w:spacing w:val="0"/>
          <w:sz w:val="32"/>
          <w:szCs w:val="32"/>
          <w:highlight w:val="none"/>
          <w:shd w:val="clear" w:fill="FFFFFF"/>
        </w:rPr>
        <w:t>投标文件资格性审查：</w:t>
      </w:r>
      <w:r>
        <w:rPr>
          <w:rFonts w:hint="eastAsia" w:ascii="仿宋_GB2312" w:hAnsi="仿宋_GB2312" w:eastAsia="仿宋_GB2312" w:cs="仿宋_GB2312"/>
          <w:i w:val="0"/>
          <w:iCs w:val="0"/>
          <w:caps w:val="0"/>
          <w:color w:val="000000"/>
          <w:spacing w:val="0"/>
          <w:sz w:val="32"/>
          <w:szCs w:val="32"/>
          <w:highlight w:val="none"/>
          <w:shd w:val="clear" w:fill="FFFFFF"/>
          <w:lang w:eastAsia="zh-CN"/>
        </w:rPr>
        <w:t>评标委员会</w:t>
      </w:r>
      <w:r>
        <w:rPr>
          <w:rFonts w:hint="eastAsia" w:ascii="仿宋_GB2312" w:hAnsi="仿宋_GB2312" w:eastAsia="仿宋_GB2312" w:cs="仿宋_GB2312"/>
          <w:i w:val="0"/>
          <w:iCs w:val="0"/>
          <w:caps w:val="0"/>
          <w:color w:val="000000"/>
          <w:spacing w:val="0"/>
          <w:sz w:val="32"/>
          <w:szCs w:val="32"/>
          <w:highlight w:val="none"/>
          <w:shd w:val="clear" w:fill="FFFFFF"/>
        </w:rPr>
        <w:t>依据法律法规和招标文件的规定，对投标文件中的资格证明进行审查，以确定投标人是否具备投标资格。</w:t>
      </w:r>
    </w:p>
    <w:p w14:paraId="6C035E6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highlight w:val="none"/>
          <w:shd w:val="clear" w:fill="FFFFFF"/>
          <w:lang w:eastAsia="zh-CN"/>
        </w:rPr>
      </w:pPr>
      <w:r>
        <w:rPr>
          <w:rFonts w:hint="eastAsia" w:ascii="仿宋_GB2312" w:hAnsi="仿宋_GB2312" w:eastAsia="仿宋_GB2312" w:cs="仿宋_GB2312"/>
          <w:i w:val="0"/>
          <w:iCs w:val="0"/>
          <w:caps w:val="0"/>
          <w:color w:val="000000"/>
          <w:spacing w:val="0"/>
          <w:sz w:val="32"/>
          <w:szCs w:val="32"/>
          <w:highlight w:val="none"/>
          <w:shd w:val="clear" w:fill="FFFFFF"/>
          <w:lang w:val="en" w:eastAsia="zh-CN"/>
        </w:rPr>
        <w:t>2.</w:t>
      </w:r>
      <w:r>
        <w:rPr>
          <w:rFonts w:hint="eastAsia" w:ascii="仿宋_GB2312" w:hAnsi="仿宋_GB2312" w:eastAsia="仿宋_GB2312" w:cs="仿宋_GB2312"/>
          <w:i w:val="0"/>
          <w:iCs w:val="0"/>
          <w:caps w:val="0"/>
          <w:color w:val="000000"/>
          <w:spacing w:val="0"/>
          <w:sz w:val="32"/>
          <w:szCs w:val="32"/>
          <w:highlight w:val="none"/>
          <w:shd w:val="clear" w:fill="FFFFFF"/>
        </w:rPr>
        <w:t>投标文件符合性审查：</w:t>
      </w:r>
      <w:r>
        <w:rPr>
          <w:rFonts w:hint="eastAsia" w:ascii="仿宋_GB2312" w:hAnsi="仿宋_GB2312" w:eastAsia="仿宋_GB2312" w:cs="仿宋_GB2312"/>
          <w:i w:val="0"/>
          <w:iCs w:val="0"/>
          <w:caps w:val="0"/>
          <w:color w:val="000000"/>
          <w:spacing w:val="0"/>
          <w:sz w:val="32"/>
          <w:szCs w:val="32"/>
          <w:highlight w:val="none"/>
          <w:shd w:val="clear" w:fill="FFFFFF"/>
          <w:lang w:eastAsia="zh-CN"/>
        </w:rPr>
        <w:t>评标委员会</w:t>
      </w:r>
      <w:r>
        <w:rPr>
          <w:rFonts w:hint="eastAsia" w:ascii="仿宋_GB2312" w:hAnsi="仿宋_GB2312" w:eastAsia="仿宋_GB2312" w:cs="仿宋_GB2312"/>
          <w:i w:val="0"/>
          <w:iCs w:val="0"/>
          <w:caps w:val="0"/>
          <w:color w:val="000000"/>
          <w:spacing w:val="0"/>
          <w:sz w:val="32"/>
          <w:szCs w:val="32"/>
          <w:highlight w:val="none"/>
          <w:shd w:val="clear" w:fill="FFFFFF"/>
        </w:rPr>
        <w:t>依据招标文件的规定，从投标文件的有效性、完整性和对招标文件的响应程度进行审查，以确定是否对招标文件的实质性要求作出响应。</w:t>
      </w:r>
    </w:p>
    <w:p w14:paraId="317213E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iCs w:val="0"/>
          <w:caps w:val="0"/>
          <w:color w:val="404040"/>
          <w:spacing w:val="0"/>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lang w:val="en" w:eastAsia="zh-CN"/>
        </w:rPr>
        <w:t>3.</w:t>
      </w:r>
      <w:r>
        <w:rPr>
          <w:rFonts w:hint="eastAsia" w:ascii="仿宋_GB2312" w:hAnsi="仿宋_GB2312" w:eastAsia="仿宋_GB2312" w:cs="仿宋_GB2312"/>
          <w:i w:val="0"/>
          <w:iCs w:val="0"/>
          <w:caps w:val="0"/>
          <w:color w:val="000000"/>
          <w:spacing w:val="0"/>
          <w:sz w:val="32"/>
          <w:szCs w:val="32"/>
          <w:highlight w:val="none"/>
          <w:shd w:val="clear" w:fill="FFFFFF"/>
        </w:rPr>
        <w:t>修正原则</w:t>
      </w:r>
    </w:p>
    <w:p w14:paraId="6A4C51C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iCs w:val="0"/>
          <w:caps w:val="0"/>
          <w:color w:val="404040"/>
          <w:spacing w:val="0"/>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lang w:eastAsia="zh-CN"/>
        </w:rPr>
        <w:t>评标委员会</w:t>
      </w:r>
      <w:r>
        <w:rPr>
          <w:rFonts w:hint="eastAsia" w:ascii="仿宋_GB2312" w:hAnsi="仿宋_GB2312" w:eastAsia="仿宋_GB2312" w:cs="仿宋_GB2312"/>
          <w:i w:val="0"/>
          <w:iCs w:val="0"/>
          <w:caps w:val="0"/>
          <w:color w:val="000000"/>
          <w:spacing w:val="0"/>
          <w:sz w:val="32"/>
          <w:szCs w:val="32"/>
          <w:highlight w:val="none"/>
          <w:shd w:val="clear" w:fill="FFFFFF"/>
        </w:rPr>
        <w:t>对投标文件的商务报价文件进行审核，对发现计算、书写等错误的，按以下原则进行修正：</w:t>
      </w:r>
    </w:p>
    <w:p w14:paraId="3E6E35F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iCs w:val="0"/>
          <w:caps w:val="0"/>
          <w:color w:val="404040"/>
          <w:spacing w:val="0"/>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lang w:val="en" w:eastAsia="zh-CN"/>
        </w:rPr>
        <w:t>4.</w:t>
      </w:r>
      <w:r>
        <w:rPr>
          <w:rFonts w:hint="eastAsia" w:ascii="仿宋_GB2312" w:hAnsi="仿宋_GB2312" w:eastAsia="仿宋_GB2312" w:cs="仿宋_GB2312"/>
          <w:i w:val="0"/>
          <w:iCs w:val="0"/>
          <w:caps w:val="0"/>
          <w:color w:val="000000"/>
          <w:spacing w:val="0"/>
          <w:sz w:val="32"/>
          <w:szCs w:val="32"/>
          <w:highlight w:val="none"/>
          <w:shd w:val="clear" w:fill="FFFFFF"/>
        </w:rPr>
        <w:t>大写金额与小写金额不一致的，以大写金额为准；</w:t>
      </w:r>
    </w:p>
    <w:p w14:paraId="2C8EAEF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iCs w:val="0"/>
          <w:caps w:val="0"/>
          <w:color w:val="404040"/>
          <w:spacing w:val="0"/>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lang w:val="en" w:eastAsia="zh-CN"/>
        </w:rPr>
        <w:t>5.</w:t>
      </w:r>
      <w:r>
        <w:rPr>
          <w:rFonts w:hint="eastAsia" w:ascii="仿宋_GB2312" w:hAnsi="仿宋_GB2312" w:eastAsia="仿宋_GB2312" w:cs="仿宋_GB2312"/>
          <w:i w:val="0"/>
          <w:iCs w:val="0"/>
          <w:caps w:val="0"/>
          <w:color w:val="000000"/>
          <w:spacing w:val="0"/>
          <w:sz w:val="32"/>
          <w:szCs w:val="32"/>
          <w:highlight w:val="none"/>
          <w:shd w:val="clear" w:fill="FFFFFF"/>
        </w:rPr>
        <w:t>总价金额与按单价汇总金额不一致的，以单价金额计算结果为准；</w:t>
      </w:r>
    </w:p>
    <w:p w14:paraId="766895F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iCs w:val="0"/>
          <w:caps w:val="0"/>
          <w:color w:val="404040"/>
          <w:spacing w:val="0"/>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lang w:val="en" w:eastAsia="zh-CN"/>
        </w:rPr>
        <w:t>6.</w:t>
      </w:r>
      <w:r>
        <w:rPr>
          <w:rFonts w:hint="eastAsia" w:ascii="仿宋_GB2312" w:hAnsi="仿宋_GB2312" w:eastAsia="仿宋_GB2312" w:cs="仿宋_GB2312"/>
          <w:i w:val="0"/>
          <w:iCs w:val="0"/>
          <w:caps w:val="0"/>
          <w:color w:val="000000"/>
          <w:spacing w:val="0"/>
          <w:sz w:val="32"/>
          <w:szCs w:val="32"/>
          <w:highlight w:val="none"/>
          <w:shd w:val="clear" w:fill="FFFFFF"/>
        </w:rPr>
        <w:t>单价金额小数点有明显错位的，应以总价为准，并修改单价；</w:t>
      </w:r>
    </w:p>
    <w:p w14:paraId="6658299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iCs w:val="0"/>
          <w:caps w:val="0"/>
          <w:color w:val="404040"/>
          <w:spacing w:val="0"/>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lang w:val="en" w:eastAsia="zh-CN"/>
        </w:rPr>
        <w:t>7.</w:t>
      </w:r>
      <w:r>
        <w:rPr>
          <w:rFonts w:hint="eastAsia" w:ascii="仿宋_GB2312" w:hAnsi="仿宋_GB2312" w:eastAsia="仿宋_GB2312" w:cs="仿宋_GB2312"/>
          <w:i w:val="0"/>
          <w:iCs w:val="0"/>
          <w:caps w:val="0"/>
          <w:color w:val="000000"/>
          <w:spacing w:val="0"/>
          <w:sz w:val="32"/>
          <w:szCs w:val="32"/>
          <w:highlight w:val="none"/>
          <w:shd w:val="clear" w:fill="FFFFFF"/>
        </w:rPr>
        <w:t>以修正后的总价作为投标报价。</w:t>
      </w:r>
    </w:p>
    <w:p w14:paraId="6EC7A17C">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both"/>
        <w:textAlignment w:val="auto"/>
        <w:rPr>
          <w:rFonts w:hint="eastAsia" w:ascii="楷体_GB2312" w:hAnsi="楷体_GB2312" w:eastAsia="楷体_GB2312" w:cs="楷体_GB2312"/>
          <w:b/>
          <w:bCs/>
          <w:i w:val="0"/>
          <w:iCs w:val="0"/>
          <w:caps w:val="0"/>
          <w:color w:val="000000"/>
          <w:spacing w:val="0"/>
          <w:kern w:val="0"/>
          <w:sz w:val="32"/>
          <w:szCs w:val="32"/>
          <w:highlight w:val="none"/>
          <w:shd w:val="clear" w:fill="FFFFFF"/>
          <w:lang w:val="en-US" w:eastAsia="zh" w:bidi="ar"/>
        </w:rPr>
      </w:pPr>
      <w:r>
        <w:rPr>
          <w:rFonts w:hint="eastAsia" w:ascii="楷体_GB2312" w:hAnsi="楷体_GB2312" w:eastAsia="楷体_GB2312" w:cs="楷体_GB2312"/>
          <w:b/>
          <w:bCs/>
          <w:i w:val="0"/>
          <w:iCs w:val="0"/>
          <w:caps w:val="0"/>
          <w:color w:val="000000"/>
          <w:spacing w:val="0"/>
          <w:kern w:val="0"/>
          <w:sz w:val="32"/>
          <w:szCs w:val="32"/>
          <w:highlight w:val="none"/>
          <w:shd w:val="clear" w:fill="FFFFFF"/>
          <w:lang w:val="en" w:eastAsia="zh-CN" w:bidi="ar"/>
        </w:rPr>
        <w:t>(</w:t>
      </w:r>
      <w:r>
        <w:rPr>
          <w:rFonts w:hint="eastAsia" w:ascii="楷体_GB2312" w:hAnsi="楷体_GB2312" w:eastAsia="楷体_GB2312" w:cs="楷体_GB2312"/>
          <w:b/>
          <w:bCs/>
          <w:i w:val="0"/>
          <w:iCs w:val="0"/>
          <w:caps w:val="0"/>
          <w:color w:val="000000"/>
          <w:spacing w:val="0"/>
          <w:kern w:val="0"/>
          <w:sz w:val="32"/>
          <w:szCs w:val="32"/>
          <w:highlight w:val="none"/>
          <w:shd w:val="clear" w:fill="FFFFFF"/>
          <w:lang w:val="en" w:eastAsia="zh" w:bidi="ar"/>
        </w:rPr>
        <w:t>五）</w:t>
      </w:r>
      <w:r>
        <w:rPr>
          <w:rFonts w:hint="eastAsia" w:ascii="楷体_GB2312" w:hAnsi="楷体_GB2312" w:eastAsia="楷体_GB2312" w:cs="楷体_GB2312"/>
          <w:b/>
          <w:bCs/>
          <w:i w:val="0"/>
          <w:iCs w:val="0"/>
          <w:caps w:val="0"/>
          <w:color w:val="000000"/>
          <w:spacing w:val="0"/>
          <w:kern w:val="0"/>
          <w:sz w:val="32"/>
          <w:szCs w:val="32"/>
          <w:highlight w:val="none"/>
          <w:shd w:val="clear" w:fill="FFFFFF"/>
          <w:lang w:val="en-US" w:eastAsia="zh" w:bidi="ar"/>
        </w:rPr>
        <w:t>评标办法</w:t>
      </w:r>
    </w:p>
    <w:p w14:paraId="20A75F91">
      <w:pPr>
        <w:keepNext w:val="0"/>
        <w:keepLines w:val="0"/>
        <w:pageBreakBefore w:val="0"/>
        <w:kinsoku/>
        <w:wordWrap/>
        <w:overflowPunct/>
        <w:topLinePunct w:val="0"/>
        <w:autoSpaceDE/>
        <w:autoSpaceDN/>
        <w:bidi w:val="0"/>
        <w:spacing w:line="52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lang w:val="en"/>
        </w:rPr>
        <w:t>1.</w:t>
      </w:r>
      <w:r>
        <w:rPr>
          <w:rFonts w:hint="eastAsia" w:ascii="仿宋_GB2312" w:hAnsi="仿宋_GB2312" w:eastAsia="仿宋_GB2312" w:cs="仿宋_GB2312"/>
          <w:i w:val="0"/>
          <w:iCs w:val="0"/>
          <w:caps w:val="0"/>
          <w:color w:val="000000"/>
          <w:spacing w:val="0"/>
          <w:sz w:val="32"/>
          <w:szCs w:val="32"/>
          <w:highlight w:val="none"/>
          <w:shd w:val="clear" w:fill="FFFFFF"/>
        </w:rPr>
        <w:t>本项目采用综合评分法，总分为100分</w:t>
      </w:r>
      <w:r>
        <w:rPr>
          <w:rFonts w:hint="eastAsia" w:ascii="仿宋_GB2312" w:hAnsi="仿宋_GB2312" w:eastAsia="仿宋_GB2312" w:cs="仿宋_GB2312"/>
          <w:i w:val="0"/>
          <w:iCs w:val="0"/>
          <w:caps w:val="0"/>
          <w:color w:val="000000"/>
          <w:spacing w:val="0"/>
          <w:sz w:val="32"/>
          <w:szCs w:val="32"/>
          <w:highlight w:val="none"/>
          <w:shd w:val="clear" w:fill="FFFFFF"/>
          <w:lang w:eastAsia="zh"/>
        </w:rPr>
        <w:t>。</w:t>
      </w:r>
    </w:p>
    <w:p w14:paraId="2CBF76E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3" w:firstLineChars="200"/>
        <w:jc w:val="both"/>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b/>
          <w:bCs/>
          <w:i w:val="0"/>
          <w:iCs w:val="0"/>
          <w:caps w:val="0"/>
          <w:color w:val="404040"/>
          <w:spacing w:val="0"/>
          <w:sz w:val="32"/>
          <w:szCs w:val="32"/>
          <w:highlight w:val="none"/>
          <w:shd w:val="clear" w:fill="FFFFFF"/>
          <w:lang w:val="en"/>
        </w:rPr>
        <w:t>2.</w:t>
      </w:r>
      <w:r>
        <w:rPr>
          <w:rFonts w:hint="eastAsia" w:ascii="仿宋_GB2312" w:hAnsi="仿宋_GB2312" w:eastAsia="仿宋_GB2312" w:cs="仿宋_GB2312"/>
          <w:b/>
          <w:bCs/>
          <w:i w:val="0"/>
          <w:iCs w:val="0"/>
          <w:caps w:val="0"/>
          <w:color w:val="404040"/>
          <w:spacing w:val="0"/>
          <w:sz w:val="32"/>
          <w:szCs w:val="32"/>
          <w:highlight w:val="none"/>
          <w:shd w:val="clear" w:fill="FFFFFF"/>
        </w:rPr>
        <w:t>评分细则</w:t>
      </w:r>
      <w:r>
        <w:rPr>
          <w:rFonts w:hint="eastAsia" w:ascii="仿宋_GB2312" w:hAnsi="仿宋_GB2312" w:eastAsia="仿宋_GB2312" w:cs="仿宋_GB2312"/>
          <w:b/>
          <w:bCs/>
          <w:i w:val="0"/>
          <w:iCs w:val="0"/>
          <w:caps w:val="0"/>
          <w:color w:val="404040"/>
          <w:spacing w:val="0"/>
          <w:sz w:val="32"/>
          <w:szCs w:val="32"/>
          <w:highlight w:val="none"/>
          <w:shd w:val="clear" w:fill="FFFFFF"/>
          <w:lang w:val="en"/>
        </w:rPr>
        <w:t>:</w:t>
      </w:r>
      <w:r>
        <w:rPr>
          <w:rFonts w:hint="eastAsia" w:ascii="仿宋_GB2312" w:hAnsi="仿宋_GB2312" w:eastAsia="仿宋_GB2312" w:cs="仿宋_GB2312"/>
          <w:i w:val="0"/>
          <w:iCs w:val="0"/>
          <w:caps w:val="0"/>
          <w:color w:val="000000"/>
          <w:spacing w:val="0"/>
          <w:sz w:val="32"/>
          <w:szCs w:val="32"/>
          <w:highlight w:val="none"/>
          <w:shd w:val="clear" w:fill="FFFFFF"/>
        </w:rPr>
        <w:t>各评委成员按下列评分项目进行评判，每人一张评分计算表，并记名。投标文件各项评分内容由</w:t>
      </w:r>
      <w:r>
        <w:rPr>
          <w:rFonts w:hint="eastAsia" w:ascii="仿宋_GB2312" w:hAnsi="仿宋_GB2312" w:eastAsia="仿宋_GB2312" w:cs="仿宋_GB2312"/>
          <w:i w:val="0"/>
          <w:iCs w:val="0"/>
          <w:caps w:val="0"/>
          <w:color w:val="000000"/>
          <w:spacing w:val="0"/>
          <w:sz w:val="32"/>
          <w:szCs w:val="32"/>
          <w:highlight w:val="none"/>
          <w:shd w:val="clear" w:fill="FFFFFF"/>
          <w:lang w:eastAsia="zh-CN"/>
        </w:rPr>
        <w:t>评标委员会</w:t>
      </w:r>
      <w:r>
        <w:rPr>
          <w:rFonts w:hint="eastAsia" w:ascii="仿宋_GB2312" w:hAnsi="仿宋_GB2312" w:eastAsia="仿宋_GB2312" w:cs="仿宋_GB2312"/>
          <w:i w:val="0"/>
          <w:iCs w:val="0"/>
          <w:caps w:val="0"/>
          <w:color w:val="000000"/>
          <w:spacing w:val="0"/>
          <w:sz w:val="32"/>
          <w:szCs w:val="32"/>
          <w:highlight w:val="none"/>
          <w:shd w:val="clear" w:fill="FFFFFF"/>
        </w:rPr>
        <w:t>成员各自评分，各</w:t>
      </w:r>
      <w:r>
        <w:rPr>
          <w:rFonts w:hint="eastAsia" w:ascii="仿宋_GB2312" w:hAnsi="仿宋_GB2312" w:eastAsia="仿宋_GB2312" w:cs="仿宋_GB2312"/>
          <w:i w:val="0"/>
          <w:iCs w:val="0"/>
          <w:caps w:val="0"/>
          <w:color w:val="000000"/>
          <w:spacing w:val="0"/>
          <w:sz w:val="32"/>
          <w:szCs w:val="32"/>
          <w:highlight w:val="none"/>
          <w:shd w:val="clear" w:fill="FFFFFF"/>
          <w:lang w:eastAsia="zh-CN"/>
        </w:rPr>
        <w:t>评标委员会</w:t>
      </w:r>
      <w:r>
        <w:rPr>
          <w:rFonts w:hint="eastAsia" w:ascii="仿宋_GB2312" w:hAnsi="仿宋_GB2312" w:eastAsia="仿宋_GB2312" w:cs="仿宋_GB2312"/>
          <w:i w:val="0"/>
          <w:iCs w:val="0"/>
          <w:caps w:val="0"/>
          <w:color w:val="000000"/>
          <w:spacing w:val="0"/>
          <w:sz w:val="32"/>
          <w:szCs w:val="32"/>
          <w:highlight w:val="none"/>
          <w:shd w:val="clear" w:fill="FFFFFF"/>
        </w:rPr>
        <w:t>成员对各投标人的各项评分内容评分的算术平均值为各投标人技术分得分（四舍五入法保留二位小数）。</w:t>
      </w:r>
    </w:p>
    <w:p w14:paraId="0FF9FD1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b w:val="0"/>
          <w:bCs w:val="0"/>
          <w:i w:val="0"/>
          <w:iCs w:val="0"/>
          <w:caps w:val="0"/>
          <w:color w:val="404040"/>
          <w:spacing w:val="0"/>
          <w:sz w:val="32"/>
          <w:szCs w:val="32"/>
          <w:highlight w:val="none"/>
          <w:shd w:val="clear" w:fill="FFFFFF"/>
          <w:lang w:val="en" w:eastAsia="zh-CN"/>
        </w:rPr>
      </w:pP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7"/>
        <w:gridCol w:w="1277"/>
        <w:gridCol w:w="4583"/>
        <w:gridCol w:w="1185"/>
      </w:tblGrid>
      <w:tr w14:paraId="5D3C4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67" w:type="pct"/>
            <w:tcBorders>
              <w:top w:val="single" w:color="auto" w:sz="4" w:space="0"/>
              <w:left w:val="single" w:color="auto" w:sz="4" w:space="0"/>
              <w:bottom w:val="single" w:color="auto" w:sz="4" w:space="0"/>
              <w:right w:val="single" w:color="auto" w:sz="4" w:space="0"/>
            </w:tcBorders>
            <w:vAlign w:val="center"/>
          </w:tcPr>
          <w:p w14:paraId="2245C0D3">
            <w:pPr>
              <w:spacing w:line="360" w:lineRule="auto"/>
              <w:jc w:val="center"/>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类别</w:t>
            </w:r>
          </w:p>
        </w:tc>
        <w:tc>
          <w:tcPr>
            <w:tcW w:w="749" w:type="pct"/>
            <w:tcBorders>
              <w:top w:val="single" w:color="auto" w:sz="4" w:space="0"/>
              <w:left w:val="single" w:color="auto" w:sz="4" w:space="0"/>
              <w:bottom w:val="single" w:color="auto" w:sz="4" w:space="0"/>
              <w:right w:val="single" w:color="auto" w:sz="4" w:space="0"/>
            </w:tcBorders>
            <w:vAlign w:val="center"/>
          </w:tcPr>
          <w:p w14:paraId="08303E36">
            <w:pPr>
              <w:spacing w:line="360" w:lineRule="auto"/>
              <w:jc w:val="center"/>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评分内容</w:t>
            </w:r>
          </w:p>
        </w:tc>
        <w:tc>
          <w:tcPr>
            <w:tcW w:w="2688" w:type="pct"/>
            <w:tcBorders>
              <w:top w:val="single" w:color="auto" w:sz="4" w:space="0"/>
              <w:left w:val="single" w:color="auto" w:sz="4" w:space="0"/>
              <w:bottom w:val="single" w:color="auto" w:sz="4" w:space="0"/>
              <w:right w:val="single" w:color="auto" w:sz="4" w:space="0"/>
            </w:tcBorders>
            <w:vAlign w:val="center"/>
          </w:tcPr>
          <w:p w14:paraId="1D4A7F0C">
            <w:pPr>
              <w:spacing w:line="360" w:lineRule="auto"/>
              <w:jc w:val="center"/>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评分标准</w:t>
            </w:r>
          </w:p>
        </w:tc>
        <w:tc>
          <w:tcPr>
            <w:tcW w:w="694" w:type="pct"/>
            <w:tcBorders>
              <w:top w:val="single" w:color="auto" w:sz="4" w:space="0"/>
              <w:left w:val="single" w:color="auto" w:sz="4" w:space="0"/>
              <w:bottom w:val="single" w:color="auto" w:sz="4" w:space="0"/>
              <w:right w:val="single" w:color="auto" w:sz="4" w:space="0"/>
            </w:tcBorders>
            <w:vAlign w:val="center"/>
          </w:tcPr>
          <w:p w14:paraId="4CD9CDFC">
            <w:pPr>
              <w:spacing w:line="360" w:lineRule="auto"/>
              <w:jc w:val="center"/>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分值范围</w:t>
            </w:r>
          </w:p>
        </w:tc>
      </w:tr>
      <w:tr w14:paraId="359E8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vMerge w:val="restart"/>
            <w:tcBorders>
              <w:left w:val="single" w:color="auto" w:sz="4" w:space="0"/>
              <w:right w:val="single" w:color="auto" w:sz="4" w:space="0"/>
            </w:tcBorders>
            <w:vAlign w:val="center"/>
          </w:tcPr>
          <w:p w14:paraId="0CF450C5">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技术资信分</w:t>
            </w:r>
          </w:p>
          <w:p w14:paraId="0F71EF49">
            <w:pPr>
              <w:spacing w:line="360" w:lineRule="auto"/>
              <w:jc w:val="both"/>
              <w:rPr>
                <w:rFonts w:asciiTheme="minorEastAsia" w:hAnsiTheme="minorEastAsia" w:eastAsiaTheme="minorEastAsia"/>
                <w:b/>
                <w:bCs/>
                <w:sz w:val="24"/>
                <w:highlight w:val="none"/>
              </w:rPr>
            </w:pPr>
            <w:r>
              <w:rPr>
                <w:rFonts w:hint="eastAsia" w:asciiTheme="minorEastAsia" w:hAnsiTheme="minorEastAsia" w:eastAsiaTheme="minorEastAsia"/>
                <w:sz w:val="24"/>
                <w:highlight w:val="none"/>
              </w:rPr>
              <w:t>（</w:t>
            </w:r>
            <w:r>
              <w:rPr>
                <w:rFonts w:hint="eastAsia" w:asciiTheme="minorEastAsia" w:hAnsiTheme="minorEastAsia" w:eastAsiaTheme="minorEastAsia"/>
                <w:sz w:val="24"/>
                <w:highlight w:val="none"/>
                <w:u w:val="single"/>
                <w:lang w:val="en-US" w:eastAsia="zh-CN"/>
              </w:rPr>
              <w:t>70</w:t>
            </w:r>
            <w:r>
              <w:rPr>
                <w:rFonts w:hint="eastAsia" w:asciiTheme="minorEastAsia" w:hAnsiTheme="minorEastAsia" w:eastAsiaTheme="minorEastAsia"/>
                <w:sz w:val="24"/>
                <w:highlight w:val="none"/>
              </w:rPr>
              <w:t>分）</w:t>
            </w:r>
          </w:p>
        </w:tc>
        <w:tc>
          <w:tcPr>
            <w:tcW w:w="749" w:type="pct"/>
            <w:tcBorders>
              <w:top w:val="single" w:color="auto" w:sz="4" w:space="0"/>
              <w:left w:val="single" w:color="auto" w:sz="4" w:space="0"/>
              <w:bottom w:val="single" w:color="auto" w:sz="4" w:space="0"/>
              <w:right w:val="single" w:color="auto" w:sz="4" w:space="0"/>
            </w:tcBorders>
            <w:vAlign w:val="center"/>
          </w:tcPr>
          <w:p w14:paraId="3ACF535E">
            <w:pPr>
              <w:spacing w:line="360" w:lineRule="auto"/>
              <w:jc w:val="center"/>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项目实施</w:t>
            </w:r>
          </w:p>
          <w:p w14:paraId="7F224107">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lang w:val="en-US" w:eastAsia="zh-CN"/>
              </w:rPr>
              <w:t>方案</w:t>
            </w:r>
          </w:p>
        </w:tc>
        <w:tc>
          <w:tcPr>
            <w:tcW w:w="2688" w:type="pct"/>
            <w:tcBorders>
              <w:top w:val="single" w:color="auto" w:sz="4" w:space="0"/>
              <w:left w:val="single" w:color="auto" w:sz="4" w:space="0"/>
              <w:bottom w:val="single" w:color="auto" w:sz="4" w:space="0"/>
              <w:right w:val="single" w:color="auto" w:sz="4" w:space="0"/>
            </w:tcBorders>
            <w:vAlign w:val="center"/>
          </w:tcPr>
          <w:p w14:paraId="34FED4C1">
            <w:pPr>
              <w:spacing w:line="360" w:lineRule="auto"/>
              <w:jc w:val="left"/>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评标委员会根据采购文件要求及投标人提供的项目实施方案情况，进行综合评分：</w:t>
            </w:r>
          </w:p>
          <w:p w14:paraId="00F2591E">
            <w:pPr>
              <w:spacing w:line="360" w:lineRule="auto"/>
              <w:jc w:val="left"/>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（1）对本项目特点和难点理解准确，项目实施方案优于本项目采购需求，完整详细，可行性、实用性、针对性强，得5分；</w:t>
            </w:r>
          </w:p>
          <w:p w14:paraId="16799FF7">
            <w:pPr>
              <w:spacing w:line="360" w:lineRule="auto"/>
              <w:jc w:val="left"/>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（2）对本项目特点和难点理解基本准确，项目实施方案适合本项目采购需求，完整详细，具有可行性、实用性、针对性，得3分；</w:t>
            </w:r>
          </w:p>
          <w:p w14:paraId="5AC585D1">
            <w:pPr>
              <w:spacing w:line="360" w:lineRule="auto"/>
              <w:jc w:val="left"/>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（3）对本项目特点和难点理解有待提升，项目实施方案基本适合本项目采购需求，可行性、实用性、针对性有待改善，得1分；</w:t>
            </w:r>
          </w:p>
          <w:p w14:paraId="234A2B8C">
            <w:pPr>
              <w:spacing w:line="360" w:lineRule="auto"/>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lang w:val="en-US" w:eastAsia="zh-CN"/>
              </w:rPr>
              <w:t>（4）方案不可行或者未提供得0分。</w:t>
            </w:r>
          </w:p>
        </w:tc>
        <w:tc>
          <w:tcPr>
            <w:tcW w:w="694" w:type="pct"/>
            <w:tcBorders>
              <w:top w:val="single" w:color="auto" w:sz="4" w:space="0"/>
              <w:left w:val="single" w:color="auto" w:sz="4" w:space="0"/>
              <w:bottom w:val="single" w:color="auto" w:sz="4" w:space="0"/>
              <w:right w:val="single" w:color="auto" w:sz="4" w:space="0"/>
            </w:tcBorders>
            <w:vAlign w:val="center"/>
          </w:tcPr>
          <w:p w14:paraId="3855260D">
            <w:pPr>
              <w:spacing w:line="360" w:lineRule="auto"/>
              <w:jc w:val="center"/>
              <w:rPr>
                <w:rFonts w:asciiTheme="minorEastAsia" w:hAnsiTheme="minorEastAsia" w:eastAsiaTheme="minorEastAsia"/>
                <w:b/>
                <w:bCs/>
                <w:sz w:val="24"/>
                <w:highlight w:val="none"/>
              </w:rPr>
            </w:pPr>
            <w:r>
              <w:rPr>
                <w:rFonts w:hint="eastAsia" w:asciiTheme="minorEastAsia" w:hAnsiTheme="minorEastAsia" w:eastAsiaTheme="minorEastAsia"/>
                <w:b w:val="0"/>
                <w:bCs w:val="0"/>
                <w:sz w:val="24"/>
                <w:highlight w:val="none"/>
              </w:rPr>
              <w:t>0-5分</w:t>
            </w:r>
          </w:p>
        </w:tc>
      </w:tr>
      <w:tr w14:paraId="0DB54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vMerge w:val="continue"/>
            <w:tcBorders>
              <w:left w:val="single" w:color="auto" w:sz="4" w:space="0"/>
              <w:right w:val="single" w:color="auto" w:sz="4" w:space="0"/>
            </w:tcBorders>
            <w:vAlign w:val="center"/>
          </w:tcPr>
          <w:p w14:paraId="18362AAD">
            <w:pPr>
              <w:spacing w:line="360" w:lineRule="auto"/>
              <w:ind w:firstLine="435"/>
              <w:jc w:val="center"/>
              <w:rPr>
                <w:rFonts w:asciiTheme="minorEastAsia" w:hAnsiTheme="minorEastAsia" w:eastAsiaTheme="minorEastAsia"/>
                <w:b/>
                <w:bCs/>
                <w:sz w:val="24"/>
                <w:highlight w:val="none"/>
              </w:rPr>
            </w:pPr>
          </w:p>
        </w:tc>
        <w:tc>
          <w:tcPr>
            <w:tcW w:w="749" w:type="pct"/>
            <w:tcBorders>
              <w:top w:val="single" w:color="auto" w:sz="4" w:space="0"/>
              <w:left w:val="single" w:color="auto" w:sz="4" w:space="0"/>
              <w:bottom w:val="single" w:color="auto" w:sz="4" w:space="0"/>
              <w:right w:val="single" w:color="auto" w:sz="4" w:space="0"/>
            </w:tcBorders>
            <w:vAlign w:val="center"/>
          </w:tcPr>
          <w:p w14:paraId="7DD4605C">
            <w:pPr>
              <w:spacing w:line="360" w:lineRule="auto"/>
              <w:jc w:val="center"/>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项目竞赛</w:t>
            </w:r>
          </w:p>
          <w:p w14:paraId="18870877">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lang w:val="en-US" w:eastAsia="zh-CN"/>
              </w:rPr>
              <w:t>组织方案</w:t>
            </w:r>
          </w:p>
        </w:tc>
        <w:tc>
          <w:tcPr>
            <w:tcW w:w="2688" w:type="pct"/>
            <w:tcBorders>
              <w:top w:val="single" w:color="auto" w:sz="4" w:space="0"/>
              <w:left w:val="single" w:color="auto" w:sz="4" w:space="0"/>
              <w:bottom w:val="single" w:color="auto" w:sz="4" w:space="0"/>
              <w:right w:val="single" w:color="auto" w:sz="4" w:space="0"/>
            </w:tcBorders>
            <w:vAlign w:val="center"/>
          </w:tcPr>
          <w:p w14:paraId="6D7FF0C4">
            <w:pPr>
              <w:spacing w:line="360" w:lineRule="auto"/>
              <w:jc w:val="left"/>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评标委员会根据采购文件要求及投标人提供的项目竞赛组织方案（根据拟参赛项目进行竞赛组织）情况，进行综合评分：</w:t>
            </w:r>
          </w:p>
          <w:p w14:paraId="51587473">
            <w:pPr>
              <w:spacing w:line="360" w:lineRule="auto"/>
              <w:jc w:val="left"/>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（1）对本项目特点和难点理解准确，项目竞赛组织方案优于本项目采购需求，完整详细，可行性、实用性、针对性强，得5分；</w:t>
            </w:r>
          </w:p>
          <w:p w14:paraId="6611EDCB">
            <w:pPr>
              <w:spacing w:line="360" w:lineRule="auto"/>
              <w:jc w:val="left"/>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（2）对本项目特点和难点理解基本准确，项目竞赛组织方案适合本项目采购需求，完整详细，具有可行性、实用性、针对性，得3分；</w:t>
            </w:r>
          </w:p>
          <w:p w14:paraId="59AE24BB">
            <w:pPr>
              <w:spacing w:line="360" w:lineRule="auto"/>
              <w:jc w:val="left"/>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（3）对本项目特点和难点理解有待提升，项目竞赛组织方案基本适合本项目采购需求，可行性、实用性、针对性有待改善，得1分；</w:t>
            </w:r>
          </w:p>
          <w:p w14:paraId="65CC5D6B">
            <w:pPr>
              <w:spacing w:line="360" w:lineRule="auto"/>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lang w:val="en-US" w:eastAsia="zh-CN"/>
              </w:rPr>
              <w:t>（4）方案不可行或者未提供得0分。</w:t>
            </w:r>
          </w:p>
        </w:tc>
        <w:tc>
          <w:tcPr>
            <w:tcW w:w="694" w:type="pct"/>
            <w:tcBorders>
              <w:top w:val="single" w:color="auto" w:sz="4" w:space="0"/>
              <w:left w:val="single" w:color="auto" w:sz="4" w:space="0"/>
              <w:bottom w:val="single" w:color="auto" w:sz="4" w:space="0"/>
              <w:right w:val="single" w:color="auto" w:sz="4" w:space="0"/>
            </w:tcBorders>
            <w:vAlign w:val="center"/>
          </w:tcPr>
          <w:p w14:paraId="724AEBB1">
            <w:pPr>
              <w:spacing w:line="360" w:lineRule="auto"/>
              <w:jc w:val="center"/>
              <w:rPr>
                <w:rFonts w:asciiTheme="minorEastAsia" w:hAnsiTheme="minorEastAsia" w:eastAsiaTheme="minorEastAsia"/>
                <w:b/>
                <w:bCs/>
                <w:sz w:val="24"/>
                <w:highlight w:val="none"/>
              </w:rPr>
            </w:pPr>
            <w:r>
              <w:rPr>
                <w:rFonts w:hint="eastAsia" w:ascii="宋体" w:hAnsi="宋体" w:eastAsia="宋体" w:cs="宋体"/>
                <w:b w:val="0"/>
                <w:bCs w:val="0"/>
                <w:sz w:val="24"/>
                <w:szCs w:val="24"/>
                <w:highlight w:val="none"/>
                <w:lang w:val="en-US" w:eastAsia="zh-CN"/>
              </w:rPr>
              <w:t>0-</w:t>
            </w:r>
            <w:r>
              <w:rPr>
                <w:rFonts w:hint="eastAsia" w:ascii="宋体" w:hAnsi="宋体" w:cs="宋体"/>
                <w:b w:val="0"/>
                <w:bCs w:val="0"/>
                <w:sz w:val="24"/>
                <w:szCs w:val="24"/>
                <w:highlight w:val="none"/>
                <w:lang w:val="en-US" w:eastAsia="zh-CN"/>
              </w:rPr>
              <w:t>5</w:t>
            </w:r>
            <w:r>
              <w:rPr>
                <w:rFonts w:hint="eastAsia" w:ascii="宋体" w:hAnsi="宋体" w:eastAsia="宋体" w:cs="宋体"/>
                <w:b w:val="0"/>
                <w:bCs w:val="0"/>
                <w:sz w:val="24"/>
                <w:szCs w:val="24"/>
                <w:highlight w:val="none"/>
                <w:lang w:val="en-US" w:eastAsia="zh-CN"/>
              </w:rPr>
              <w:t>分</w:t>
            </w:r>
          </w:p>
        </w:tc>
      </w:tr>
      <w:tr w14:paraId="1DB26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vMerge w:val="continue"/>
            <w:tcBorders>
              <w:left w:val="single" w:color="auto" w:sz="4" w:space="0"/>
              <w:right w:val="single" w:color="auto" w:sz="4" w:space="0"/>
            </w:tcBorders>
            <w:vAlign w:val="center"/>
          </w:tcPr>
          <w:p w14:paraId="7E231F7B">
            <w:pPr>
              <w:spacing w:line="360" w:lineRule="auto"/>
              <w:ind w:firstLine="435"/>
              <w:jc w:val="center"/>
              <w:rPr>
                <w:rFonts w:asciiTheme="minorEastAsia" w:hAnsiTheme="minorEastAsia" w:eastAsiaTheme="minorEastAsia"/>
                <w:b/>
                <w:bCs/>
                <w:sz w:val="24"/>
                <w:highlight w:val="none"/>
              </w:rPr>
            </w:pPr>
          </w:p>
        </w:tc>
        <w:tc>
          <w:tcPr>
            <w:tcW w:w="749" w:type="pct"/>
            <w:tcBorders>
              <w:top w:val="single" w:color="auto" w:sz="4" w:space="0"/>
              <w:left w:val="single" w:color="auto" w:sz="4" w:space="0"/>
              <w:bottom w:val="single" w:color="auto" w:sz="4" w:space="0"/>
              <w:right w:val="single" w:color="auto" w:sz="4" w:space="0"/>
            </w:tcBorders>
            <w:vAlign w:val="center"/>
          </w:tcPr>
          <w:p w14:paraId="1C59105C">
            <w:pPr>
              <w:spacing w:line="360" w:lineRule="auto"/>
              <w:jc w:val="center"/>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项目后勤</w:t>
            </w:r>
          </w:p>
          <w:p w14:paraId="5C1F6EB0">
            <w:pPr>
              <w:spacing w:line="360" w:lineRule="auto"/>
              <w:jc w:val="center"/>
              <w:rPr>
                <w:rFonts w:asciiTheme="minorEastAsia" w:hAnsiTheme="minorEastAsia" w:eastAsiaTheme="minorEastAsia"/>
                <w:bCs/>
                <w:sz w:val="24"/>
                <w:highlight w:val="none"/>
              </w:rPr>
            </w:pPr>
            <w:r>
              <w:rPr>
                <w:rFonts w:hint="eastAsia" w:asciiTheme="minorEastAsia" w:hAnsiTheme="minorEastAsia" w:eastAsiaTheme="minorEastAsia"/>
                <w:sz w:val="24"/>
                <w:highlight w:val="none"/>
                <w:lang w:val="en-US" w:eastAsia="zh-CN"/>
              </w:rPr>
              <w:t>保障方案</w:t>
            </w:r>
          </w:p>
        </w:tc>
        <w:tc>
          <w:tcPr>
            <w:tcW w:w="2688" w:type="pct"/>
            <w:tcBorders>
              <w:top w:val="single" w:color="auto" w:sz="4" w:space="0"/>
              <w:left w:val="single" w:color="auto" w:sz="4" w:space="0"/>
              <w:bottom w:val="single" w:color="auto" w:sz="4" w:space="0"/>
              <w:right w:val="single" w:color="auto" w:sz="4" w:space="0"/>
            </w:tcBorders>
            <w:vAlign w:val="center"/>
          </w:tcPr>
          <w:p w14:paraId="5F947609">
            <w:pPr>
              <w:spacing w:line="360" w:lineRule="auto"/>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评标委员会根据采购文件要求及投标人提供的项目后勤保障方案情况，进行综合评分：</w:t>
            </w:r>
          </w:p>
          <w:p w14:paraId="5939302A">
            <w:pPr>
              <w:spacing w:line="360" w:lineRule="auto"/>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（1）对本项目特点和难点理解准确，项目后勤保障方案优于本项目采购需求，完整详细，可行性、实用性、针对性强，得5分；</w:t>
            </w:r>
          </w:p>
          <w:p w14:paraId="146C79AE">
            <w:pPr>
              <w:spacing w:line="360" w:lineRule="auto"/>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（2）对本项目特点和难点理解基本准确，项目后勤保障方案适合本项目采购需求，完整详细，具有可行性、实用性、针对性，得3分；</w:t>
            </w:r>
          </w:p>
          <w:p w14:paraId="65B29A98">
            <w:pPr>
              <w:spacing w:line="360" w:lineRule="auto"/>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（3）对本项目特点和难点理解有待提升，项目后勤保障方案基本适合本项目采购需求，可行性、实用性、针对性有待改善，得1分；</w:t>
            </w:r>
          </w:p>
          <w:p w14:paraId="612D53F3">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lang w:val="en-US" w:eastAsia="zh-CN"/>
              </w:rPr>
              <w:t>（4）方案不可行或者未提供得0分。</w:t>
            </w:r>
          </w:p>
        </w:tc>
        <w:tc>
          <w:tcPr>
            <w:tcW w:w="694" w:type="pct"/>
            <w:tcBorders>
              <w:top w:val="single" w:color="auto" w:sz="4" w:space="0"/>
              <w:left w:val="single" w:color="auto" w:sz="4" w:space="0"/>
              <w:bottom w:val="single" w:color="auto" w:sz="4" w:space="0"/>
              <w:right w:val="single" w:color="auto" w:sz="4" w:space="0"/>
            </w:tcBorders>
            <w:vAlign w:val="center"/>
          </w:tcPr>
          <w:p w14:paraId="2C9F3F5C">
            <w:pPr>
              <w:spacing w:line="360" w:lineRule="auto"/>
              <w:jc w:val="center"/>
              <w:rPr>
                <w:rFonts w:asciiTheme="minorEastAsia" w:hAnsiTheme="minorEastAsia" w:eastAsiaTheme="minorEastAsia"/>
                <w:b/>
                <w:bCs/>
                <w:sz w:val="24"/>
                <w:highlight w:val="none"/>
              </w:rPr>
            </w:pPr>
            <w:r>
              <w:rPr>
                <w:rFonts w:hint="eastAsia" w:ascii="宋体" w:hAnsi="宋体" w:eastAsia="宋体" w:cs="宋体"/>
                <w:b w:val="0"/>
                <w:bCs w:val="0"/>
                <w:sz w:val="24"/>
                <w:szCs w:val="24"/>
                <w:highlight w:val="none"/>
                <w:lang w:val="en-US" w:eastAsia="zh-CN"/>
              </w:rPr>
              <w:t>0-</w:t>
            </w:r>
            <w:r>
              <w:rPr>
                <w:rFonts w:hint="eastAsia" w:ascii="宋体" w:hAnsi="宋体" w:cs="宋体"/>
                <w:b w:val="0"/>
                <w:bCs w:val="0"/>
                <w:sz w:val="24"/>
                <w:szCs w:val="24"/>
                <w:highlight w:val="none"/>
                <w:lang w:val="en-US" w:eastAsia="zh-CN"/>
              </w:rPr>
              <w:t>5</w:t>
            </w:r>
            <w:r>
              <w:rPr>
                <w:rFonts w:hint="eastAsia" w:ascii="宋体" w:hAnsi="宋体" w:eastAsia="宋体" w:cs="宋体"/>
                <w:b w:val="0"/>
                <w:bCs w:val="0"/>
                <w:sz w:val="24"/>
                <w:szCs w:val="24"/>
                <w:highlight w:val="none"/>
                <w:lang w:val="en-US" w:eastAsia="zh-CN"/>
              </w:rPr>
              <w:t>分</w:t>
            </w:r>
          </w:p>
        </w:tc>
      </w:tr>
      <w:tr w14:paraId="325FD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vMerge w:val="continue"/>
            <w:tcBorders>
              <w:left w:val="single" w:color="auto" w:sz="4" w:space="0"/>
              <w:right w:val="single" w:color="auto" w:sz="4" w:space="0"/>
            </w:tcBorders>
            <w:vAlign w:val="center"/>
          </w:tcPr>
          <w:p w14:paraId="071C0936">
            <w:pPr>
              <w:spacing w:line="360" w:lineRule="auto"/>
              <w:ind w:firstLine="435"/>
              <w:jc w:val="center"/>
              <w:rPr>
                <w:rFonts w:asciiTheme="minorEastAsia" w:hAnsiTheme="minorEastAsia" w:eastAsiaTheme="minorEastAsia"/>
                <w:b/>
                <w:bCs/>
                <w:sz w:val="24"/>
                <w:highlight w:val="none"/>
              </w:rPr>
            </w:pPr>
          </w:p>
        </w:tc>
        <w:tc>
          <w:tcPr>
            <w:tcW w:w="749" w:type="pct"/>
            <w:tcBorders>
              <w:top w:val="single" w:color="auto" w:sz="4" w:space="0"/>
              <w:left w:val="single" w:color="auto" w:sz="4" w:space="0"/>
              <w:bottom w:val="single" w:color="auto" w:sz="4" w:space="0"/>
              <w:right w:val="single" w:color="auto" w:sz="4" w:space="0"/>
            </w:tcBorders>
            <w:vAlign w:val="center"/>
          </w:tcPr>
          <w:p w14:paraId="1080B2AD">
            <w:pPr>
              <w:spacing w:line="360" w:lineRule="auto"/>
              <w:jc w:val="center"/>
              <w:rPr>
                <w:rFonts w:hint="eastAsia" w:asciiTheme="minorEastAsia" w:hAnsiTheme="minorEastAsia" w:eastAsiaTheme="minorEastAsia"/>
                <w:bCs/>
                <w:sz w:val="24"/>
                <w:highlight w:val="none"/>
                <w:lang w:val="en-US" w:eastAsia="zh-CN"/>
              </w:rPr>
            </w:pPr>
            <w:r>
              <w:rPr>
                <w:rFonts w:hint="eastAsia" w:asciiTheme="minorEastAsia" w:hAnsiTheme="minorEastAsia" w:eastAsiaTheme="minorEastAsia"/>
                <w:bCs/>
                <w:sz w:val="24"/>
                <w:highlight w:val="none"/>
                <w:lang w:val="en-US" w:eastAsia="zh-CN"/>
              </w:rPr>
              <w:t>项目宣传</w:t>
            </w:r>
          </w:p>
          <w:p w14:paraId="7FD2ABFF">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bCs/>
                <w:sz w:val="24"/>
                <w:highlight w:val="none"/>
                <w:lang w:val="en-US" w:eastAsia="zh-CN"/>
              </w:rPr>
              <w:t>方案</w:t>
            </w:r>
          </w:p>
        </w:tc>
        <w:tc>
          <w:tcPr>
            <w:tcW w:w="2688" w:type="pct"/>
            <w:tcBorders>
              <w:top w:val="single" w:color="auto" w:sz="4" w:space="0"/>
              <w:left w:val="single" w:color="auto" w:sz="4" w:space="0"/>
              <w:bottom w:val="single" w:color="auto" w:sz="4" w:space="0"/>
              <w:right w:val="single" w:color="auto" w:sz="4" w:space="0"/>
            </w:tcBorders>
            <w:vAlign w:val="center"/>
          </w:tcPr>
          <w:p w14:paraId="57A8FCBE">
            <w:pPr>
              <w:spacing w:line="360" w:lineRule="auto"/>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评标委员会根据采购文件要求及投标人提供的项目宣传方案（组队参赛中各类亮点挖掘、获奖宣传等）情况，进行综合评分：</w:t>
            </w:r>
          </w:p>
          <w:p w14:paraId="3AFAB961">
            <w:pPr>
              <w:spacing w:line="360" w:lineRule="auto"/>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（1）对本项目特点和难点理解准确，项目宣传方案优于本项目采购需求，完整详细，可行性、实用性、针对性强，得4分；</w:t>
            </w:r>
          </w:p>
          <w:p w14:paraId="33CA66B2">
            <w:pPr>
              <w:spacing w:line="360" w:lineRule="auto"/>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（2）对本项目特点和难点理解基本准确，项目宣传方案适合本项目采购需求，完整详细，具有可行性、实用性、针对性，得2分；</w:t>
            </w:r>
          </w:p>
          <w:p w14:paraId="1CBFCDF3">
            <w:pPr>
              <w:spacing w:line="360" w:lineRule="auto"/>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（3）对本项目特点和难点理解有待提升，项目宣传方案基本适合本项目采购需求，可行性、实用性、针对性有待改善，得1分；</w:t>
            </w:r>
          </w:p>
          <w:p w14:paraId="489EE4C3">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lang w:val="en-US" w:eastAsia="zh-CN"/>
              </w:rPr>
              <w:t>（4）方案不可行或者未提供得0分。</w:t>
            </w:r>
          </w:p>
        </w:tc>
        <w:tc>
          <w:tcPr>
            <w:tcW w:w="694" w:type="pct"/>
            <w:tcBorders>
              <w:top w:val="single" w:color="auto" w:sz="4" w:space="0"/>
              <w:left w:val="single" w:color="auto" w:sz="4" w:space="0"/>
              <w:bottom w:val="single" w:color="auto" w:sz="4" w:space="0"/>
              <w:right w:val="single" w:color="auto" w:sz="4" w:space="0"/>
            </w:tcBorders>
            <w:vAlign w:val="center"/>
          </w:tcPr>
          <w:p w14:paraId="1BA02890">
            <w:pPr>
              <w:spacing w:line="360" w:lineRule="auto"/>
              <w:jc w:val="center"/>
              <w:rPr>
                <w:rFonts w:asciiTheme="minorEastAsia" w:hAnsiTheme="minorEastAsia" w:eastAsiaTheme="minorEastAsia"/>
                <w:b/>
                <w:bCs/>
                <w:sz w:val="24"/>
                <w:highlight w:val="none"/>
              </w:rPr>
            </w:pPr>
            <w:r>
              <w:rPr>
                <w:rFonts w:hint="eastAsia" w:ascii="宋体" w:hAnsi="宋体" w:eastAsia="宋体" w:cs="宋体"/>
                <w:b w:val="0"/>
                <w:bCs w:val="0"/>
                <w:sz w:val="24"/>
                <w:szCs w:val="24"/>
                <w:highlight w:val="none"/>
                <w:lang w:val="en-US" w:eastAsia="zh-CN"/>
              </w:rPr>
              <w:t>0-</w:t>
            </w:r>
            <w:r>
              <w:rPr>
                <w:rFonts w:hint="eastAsia" w:ascii="宋体" w:hAnsi="宋体" w:cs="宋体"/>
                <w:b w:val="0"/>
                <w:bCs w:val="0"/>
                <w:sz w:val="24"/>
                <w:szCs w:val="24"/>
                <w:highlight w:val="none"/>
                <w:lang w:val="en-US" w:eastAsia="zh-CN"/>
              </w:rPr>
              <w:t>4</w:t>
            </w:r>
            <w:r>
              <w:rPr>
                <w:rFonts w:hint="eastAsia" w:ascii="宋体" w:hAnsi="宋体" w:eastAsia="宋体" w:cs="宋体"/>
                <w:b w:val="0"/>
                <w:bCs w:val="0"/>
                <w:sz w:val="24"/>
                <w:szCs w:val="24"/>
                <w:highlight w:val="none"/>
                <w:lang w:val="en-US" w:eastAsia="zh-CN"/>
              </w:rPr>
              <w:t>分</w:t>
            </w:r>
          </w:p>
        </w:tc>
      </w:tr>
      <w:tr w14:paraId="5E549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vMerge w:val="continue"/>
            <w:tcBorders>
              <w:left w:val="single" w:color="auto" w:sz="4" w:space="0"/>
              <w:right w:val="single" w:color="auto" w:sz="4" w:space="0"/>
            </w:tcBorders>
            <w:vAlign w:val="center"/>
          </w:tcPr>
          <w:p w14:paraId="3BFC4333">
            <w:pPr>
              <w:spacing w:line="360" w:lineRule="auto"/>
              <w:ind w:firstLine="435"/>
              <w:jc w:val="center"/>
              <w:rPr>
                <w:rFonts w:asciiTheme="minorEastAsia" w:hAnsiTheme="minorEastAsia" w:eastAsiaTheme="minorEastAsia"/>
                <w:b/>
                <w:bCs/>
                <w:sz w:val="24"/>
                <w:highlight w:val="none"/>
              </w:rPr>
            </w:pPr>
          </w:p>
        </w:tc>
        <w:tc>
          <w:tcPr>
            <w:tcW w:w="749" w:type="pct"/>
            <w:tcBorders>
              <w:top w:val="single" w:color="auto" w:sz="4" w:space="0"/>
              <w:left w:val="single" w:color="auto" w:sz="4" w:space="0"/>
              <w:bottom w:val="single" w:color="auto" w:sz="4" w:space="0"/>
              <w:right w:val="single" w:color="auto" w:sz="4" w:space="0"/>
            </w:tcBorders>
            <w:vAlign w:val="center"/>
          </w:tcPr>
          <w:p w14:paraId="781E5851">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应急预案</w:t>
            </w:r>
          </w:p>
        </w:tc>
        <w:tc>
          <w:tcPr>
            <w:tcW w:w="2688" w:type="pct"/>
            <w:tcBorders>
              <w:top w:val="single" w:color="auto" w:sz="4" w:space="0"/>
              <w:left w:val="single" w:color="auto" w:sz="4" w:space="0"/>
              <w:bottom w:val="single" w:color="auto" w:sz="4" w:space="0"/>
              <w:right w:val="single" w:color="auto" w:sz="4" w:space="0"/>
            </w:tcBorders>
            <w:vAlign w:val="center"/>
          </w:tcPr>
          <w:p w14:paraId="62F980AC">
            <w:pPr>
              <w:spacing w:line="360" w:lineRule="auto"/>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评标委员会根据采购文件要求及投标人提供的应急预案情况，进行综合评分：</w:t>
            </w:r>
          </w:p>
          <w:p w14:paraId="33A984CC">
            <w:pPr>
              <w:spacing w:line="360" w:lineRule="auto"/>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（1）对本项目特点和难点理解准确，应急预案优于本项目采购需求，完整详细，可行性、实用性、针对性强，得4分；</w:t>
            </w:r>
          </w:p>
          <w:p w14:paraId="601858A1">
            <w:pPr>
              <w:spacing w:line="360" w:lineRule="auto"/>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（2）对本项目特点和难点理解基本准确，应急预案适合本项目采购需求，完整详细，具有可行性、实用性、针对性，得2分；</w:t>
            </w:r>
          </w:p>
          <w:p w14:paraId="4ADF82DC">
            <w:pPr>
              <w:spacing w:line="360" w:lineRule="auto"/>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（3）对本项目特点和难点理解有待提升，应急预案基本适合本项目采购需求，可行性、实用性、针对性有待改善，得1分；</w:t>
            </w:r>
          </w:p>
          <w:p w14:paraId="1292F62E">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lang w:val="en-US" w:eastAsia="zh-CN"/>
              </w:rPr>
              <w:t>（4）方案不可行或者未提供得0分。</w:t>
            </w:r>
          </w:p>
        </w:tc>
        <w:tc>
          <w:tcPr>
            <w:tcW w:w="694" w:type="pct"/>
            <w:tcBorders>
              <w:top w:val="single" w:color="auto" w:sz="4" w:space="0"/>
              <w:left w:val="single" w:color="auto" w:sz="4" w:space="0"/>
              <w:bottom w:val="single" w:color="auto" w:sz="4" w:space="0"/>
              <w:right w:val="single" w:color="auto" w:sz="4" w:space="0"/>
            </w:tcBorders>
            <w:vAlign w:val="center"/>
          </w:tcPr>
          <w:p w14:paraId="278AFCFC">
            <w:pPr>
              <w:spacing w:line="360" w:lineRule="auto"/>
              <w:jc w:val="center"/>
              <w:rPr>
                <w:rFonts w:asciiTheme="minorEastAsia" w:hAnsiTheme="minorEastAsia" w:eastAsiaTheme="minorEastAsia"/>
                <w:b/>
                <w:bCs/>
                <w:sz w:val="24"/>
                <w:highlight w:val="none"/>
              </w:rPr>
            </w:pPr>
            <w:r>
              <w:rPr>
                <w:rFonts w:hint="eastAsia" w:ascii="宋体" w:hAnsi="宋体" w:eastAsia="宋体" w:cs="宋体"/>
                <w:b w:val="0"/>
                <w:bCs w:val="0"/>
                <w:sz w:val="24"/>
                <w:szCs w:val="24"/>
                <w:highlight w:val="none"/>
                <w:lang w:val="en-US" w:eastAsia="zh-CN"/>
              </w:rPr>
              <w:t>0-</w:t>
            </w:r>
            <w:r>
              <w:rPr>
                <w:rFonts w:hint="eastAsia" w:ascii="宋体" w:hAnsi="宋体" w:cs="宋体"/>
                <w:b w:val="0"/>
                <w:bCs w:val="0"/>
                <w:sz w:val="24"/>
                <w:szCs w:val="24"/>
                <w:highlight w:val="none"/>
                <w:lang w:val="en-US" w:eastAsia="zh-CN"/>
              </w:rPr>
              <w:t>4</w:t>
            </w:r>
            <w:r>
              <w:rPr>
                <w:rFonts w:hint="eastAsia" w:ascii="宋体" w:hAnsi="宋体" w:eastAsia="宋体" w:cs="宋体"/>
                <w:b w:val="0"/>
                <w:bCs w:val="0"/>
                <w:sz w:val="24"/>
                <w:szCs w:val="24"/>
                <w:highlight w:val="none"/>
                <w:lang w:val="en-US" w:eastAsia="zh-CN"/>
              </w:rPr>
              <w:t>分</w:t>
            </w:r>
          </w:p>
        </w:tc>
      </w:tr>
      <w:tr w14:paraId="631E5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vMerge w:val="continue"/>
            <w:tcBorders>
              <w:left w:val="single" w:color="auto" w:sz="4" w:space="0"/>
              <w:right w:val="single" w:color="auto" w:sz="4" w:space="0"/>
            </w:tcBorders>
            <w:vAlign w:val="center"/>
          </w:tcPr>
          <w:p w14:paraId="40D9FDAF">
            <w:pPr>
              <w:spacing w:line="360" w:lineRule="auto"/>
              <w:ind w:firstLine="435"/>
              <w:jc w:val="center"/>
              <w:rPr>
                <w:rFonts w:asciiTheme="minorEastAsia" w:hAnsiTheme="minorEastAsia" w:eastAsiaTheme="minorEastAsia"/>
                <w:b/>
                <w:bCs/>
                <w:sz w:val="24"/>
                <w:highlight w:val="none"/>
              </w:rPr>
            </w:pPr>
          </w:p>
        </w:tc>
        <w:tc>
          <w:tcPr>
            <w:tcW w:w="749" w:type="pct"/>
            <w:tcBorders>
              <w:top w:val="single" w:color="auto" w:sz="4" w:space="0"/>
              <w:left w:val="single" w:color="auto" w:sz="4" w:space="0"/>
              <w:bottom w:val="single" w:color="auto" w:sz="4" w:space="0"/>
              <w:right w:val="single" w:color="auto" w:sz="4" w:space="0"/>
            </w:tcBorders>
            <w:vAlign w:val="center"/>
          </w:tcPr>
          <w:p w14:paraId="39C0F7B1">
            <w:pPr>
              <w:spacing w:line="360" w:lineRule="auto"/>
              <w:jc w:val="center"/>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医疗保障</w:t>
            </w:r>
          </w:p>
          <w:p w14:paraId="3529DCD3">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lang w:val="en-US" w:eastAsia="zh-CN"/>
              </w:rPr>
              <w:t>方案</w:t>
            </w:r>
          </w:p>
        </w:tc>
        <w:tc>
          <w:tcPr>
            <w:tcW w:w="2688" w:type="pct"/>
            <w:tcBorders>
              <w:top w:val="single" w:color="auto" w:sz="4" w:space="0"/>
              <w:left w:val="single" w:color="auto" w:sz="4" w:space="0"/>
              <w:bottom w:val="single" w:color="auto" w:sz="4" w:space="0"/>
              <w:right w:val="single" w:color="auto" w:sz="4" w:space="0"/>
            </w:tcBorders>
            <w:vAlign w:val="center"/>
          </w:tcPr>
          <w:p w14:paraId="356D7BEA">
            <w:pPr>
              <w:spacing w:line="360" w:lineRule="auto"/>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评标委员会根据采购文件要求及投标人提供的医疗保障方案情况，进行综合评分：</w:t>
            </w:r>
          </w:p>
          <w:p w14:paraId="18241470">
            <w:pPr>
              <w:spacing w:line="360" w:lineRule="auto"/>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（1）对本项目特点和难点理解准确，医疗保障方案优于本项目采购需求，完整详细，可行性、实用性、针对性强，得4分；</w:t>
            </w:r>
          </w:p>
          <w:p w14:paraId="5BF41070">
            <w:pPr>
              <w:spacing w:line="360" w:lineRule="auto"/>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（2）对本项目特点和难点理解基本准确，医疗保障方案适合本项目采购需求，完整详细，具有可行性、实用性、针对性，得2分；</w:t>
            </w:r>
          </w:p>
          <w:p w14:paraId="19C764E8">
            <w:pPr>
              <w:spacing w:line="360" w:lineRule="auto"/>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（3）对本项目特点和难点理解有待提升，医疗保障方案基本适合本项目采购需求，可行性、实用性、针对性有待改善，得1分；</w:t>
            </w:r>
          </w:p>
          <w:p w14:paraId="4AA4418E">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lang w:val="en-US" w:eastAsia="zh-CN"/>
              </w:rPr>
              <w:t>（4）方案不可行或者未提供得0分。</w:t>
            </w:r>
          </w:p>
        </w:tc>
        <w:tc>
          <w:tcPr>
            <w:tcW w:w="694" w:type="pct"/>
            <w:tcBorders>
              <w:top w:val="single" w:color="auto" w:sz="4" w:space="0"/>
              <w:left w:val="single" w:color="auto" w:sz="4" w:space="0"/>
              <w:bottom w:val="single" w:color="auto" w:sz="4" w:space="0"/>
              <w:right w:val="single" w:color="auto" w:sz="4" w:space="0"/>
            </w:tcBorders>
            <w:vAlign w:val="center"/>
          </w:tcPr>
          <w:p w14:paraId="1090434A">
            <w:pPr>
              <w:spacing w:line="360" w:lineRule="auto"/>
              <w:jc w:val="center"/>
              <w:rPr>
                <w:rFonts w:asciiTheme="minorEastAsia" w:hAnsiTheme="minorEastAsia" w:eastAsiaTheme="minorEastAsia"/>
                <w:b/>
                <w:bCs/>
                <w:sz w:val="24"/>
                <w:highlight w:val="none"/>
              </w:rPr>
            </w:pPr>
            <w:r>
              <w:rPr>
                <w:rFonts w:hint="eastAsia" w:ascii="宋体" w:hAnsi="宋体" w:eastAsia="宋体" w:cs="宋体"/>
                <w:b w:val="0"/>
                <w:bCs w:val="0"/>
                <w:sz w:val="24"/>
                <w:szCs w:val="24"/>
                <w:highlight w:val="none"/>
                <w:lang w:val="en-US" w:eastAsia="zh-CN"/>
              </w:rPr>
              <w:t>0-</w:t>
            </w:r>
            <w:r>
              <w:rPr>
                <w:rFonts w:hint="eastAsia" w:ascii="宋体" w:hAnsi="宋体" w:cs="宋体"/>
                <w:b w:val="0"/>
                <w:bCs w:val="0"/>
                <w:sz w:val="24"/>
                <w:szCs w:val="24"/>
                <w:highlight w:val="none"/>
                <w:lang w:val="en-US" w:eastAsia="zh-CN"/>
              </w:rPr>
              <w:t>4</w:t>
            </w:r>
            <w:r>
              <w:rPr>
                <w:rFonts w:hint="eastAsia" w:ascii="宋体" w:hAnsi="宋体" w:eastAsia="宋体" w:cs="宋体"/>
                <w:b w:val="0"/>
                <w:bCs w:val="0"/>
                <w:sz w:val="24"/>
                <w:szCs w:val="24"/>
                <w:highlight w:val="none"/>
                <w:lang w:val="en-US" w:eastAsia="zh-CN"/>
              </w:rPr>
              <w:t>分</w:t>
            </w:r>
          </w:p>
        </w:tc>
      </w:tr>
      <w:tr w14:paraId="362D3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vMerge w:val="continue"/>
            <w:tcBorders>
              <w:left w:val="single" w:color="auto" w:sz="4" w:space="0"/>
              <w:right w:val="single" w:color="auto" w:sz="4" w:space="0"/>
            </w:tcBorders>
            <w:vAlign w:val="center"/>
          </w:tcPr>
          <w:p w14:paraId="790D3477">
            <w:pPr>
              <w:spacing w:line="360" w:lineRule="auto"/>
              <w:ind w:firstLine="435"/>
              <w:jc w:val="center"/>
              <w:rPr>
                <w:rFonts w:asciiTheme="minorEastAsia" w:hAnsiTheme="minorEastAsia" w:eastAsiaTheme="minorEastAsia"/>
                <w:b/>
                <w:bCs/>
                <w:sz w:val="24"/>
                <w:highlight w:val="none"/>
              </w:rPr>
            </w:pPr>
          </w:p>
        </w:tc>
        <w:tc>
          <w:tcPr>
            <w:tcW w:w="749" w:type="pct"/>
            <w:tcBorders>
              <w:top w:val="single" w:color="auto" w:sz="4" w:space="0"/>
              <w:left w:val="single" w:color="auto" w:sz="4" w:space="0"/>
              <w:bottom w:val="single" w:color="auto" w:sz="4" w:space="0"/>
              <w:right w:val="single" w:color="auto" w:sz="4" w:space="0"/>
            </w:tcBorders>
            <w:vAlign w:val="center"/>
          </w:tcPr>
          <w:p w14:paraId="568BD456">
            <w:pPr>
              <w:spacing w:line="360" w:lineRule="auto"/>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质量控制</w:t>
            </w:r>
          </w:p>
          <w:p w14:paraId="4EFB37D4">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措施</w:t>
            </w:r>
          </w:p>
        </w:tc>
        <w:tc>
          <w:tcPr>
            <w:tcW w:w="2688" w:type="pct"/>
            <w:tcBorders>
              <w:top w:val="single" w:color="auto" w:sz="4" w:space="0"/>
              <w:left w:val="single" w:color="auto" w:sz="4" w:space="0"/>
              <w:bottom w:val="single" w:color="auto" w:sz="4" w:space="0"/>
              <w:right w:val="single" w:color="auto" w:sz="4" w:space="0"/>
            </w:tcBorders>
            <w:vAlign w:val="center"/>
          </w:tcPr>
          <w:p w14:paraId="76379BA3">
            <w:pPr>
              <w:spacing w:line="360" w:lineRule="auto"/>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评标委员会根据采购文件要求及投标人提供的内部管理制度及团队分工等质量控制措施情况，进行综合评分：</w:t>
            </w:r>
          </w:p>
          <w:p w14:paraId="6E5A4DFF">
            <w:pPr>
              <w:spacing w:line="360" w:lineRule="auto"/>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（1）对本项目特点和难点理解准确，质量控制措施优于本项目采购需求，完整详细，可行性、实用性、针对性强，得4分；</w:t>
            </w:r>
          </w:p>
          <w:p w14:paraId="67481588">
            <w:pPr>
              <w:spacing w:line="360" w:lineRule="auto"/>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（2）对本项目特点和难点理解基本准确，质量控制措施适合本项目采购需求，完整详细，具有可行性、实用性、针对性，得2分；</w:t>
            </w:r>
          </w:p>
          <w:p w14:paraId="60E9642D">
            <w:pPr>
              <w:spacing w:line="360" w:lineRule="auto"/>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（3）对本项目特点和难点理解有待提升，质量控制措施基本适合本项目采购需求，可行性、实用性、针对性有待改善，得1分；</w:t>
            </w:r>
          </w:p>
          <w:p w14:paraId="7DBE43DF">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lang w:val="en-US" w:eastAsia="zh-CN"/>
              </w:rPr>
              <w:t>（4）方案不可行或者未提供得0分。</w:t>
            </w:r>
          </w:p>
        </w:tc>
        <w:tc>
          <w:tcPr>
            <w:tcW w:w="694" w:type="pct"/>
            <w:tcBorders>
              <w:top w:val="single" w:color="auto" w:sz="4" w:space="0"/>
              <w:left w:val="single" w:color="auto" w:sz="4" w:space="0"/>
              <w:bottom w:val="single" w:color="auto" w:sz="4" w:space="0"/>
              <w:right w:val="single" w:color="auto" w:sz="4" w:space="0"/>
            </w:tcBorders>
            <w:vAlign w:val="center"/>
          </w:tcPr>
          <w:p w14:paraId="2F56BEDD">
            <w:pPr>
              <w:spacing w:line="360" w:lineRule="auto"/>
              <w:jc w:val="center"/>
              <w:rPr>
                <w:rFonts w:asciiTheme="minorEastAsia" w:hAnsiTheme="minorEastAsia" w:eastAsiaTheme="minorEastAsia"/>
                <w:b/>
                <w:bCs/>
                <w:sz w:val="24"/>
                <w:highlight w:val="none"/>
              </w:rPr>
            </w:pPr>
            <w:r>
              <w:rPr>
                <w:rFonts w:hint="eastAsia" w:ascii="宋体" w:hAnsi="宋体" w:eastAsia="宋体" w:cs="宋体"/>
                <w:b w:val="0"/>
                <w:bCs w:val="0"/>
                <w:sz w:val="24"/>
                <w:szCs w:val="24"/>
                <w:highlight w:val="none"/>
                <w:lang w:val="en-US" w:eastAsia="zh-CN"/>
              </w:rPr>
              <w:t>0-</w:t>
            </w:r>
            <w:r>
              <w:rPr>
                <w:rFonts w:hint="eastAsia" w:ascii="宋体" w:hAnsi="宋体" w:cs="宋体"/>
                <w:b w:val="0"/>
                <w:bCs w:val="0"/>
                <w:sz w:val="24"/>
                <w:szCs w:val="24"/>
                <w:highlight w:val="none"/>
                <w:lang w:val="en-US" w:eastAsia="zh-CN"/>
              </w:rPr>
              <w:t>4</w:t>
            </w:r>
            <w:r>
              <w:rPr>
                <w:rFonts w:hint="eastAsia" w:ascii="宋体" w:hAnsi="宋体" w:eastAsia="宋体" w:cs="宋体"/>
                <w:b w:val="0"/>
                <w:bCs w:val="0"/>
                <w:sz w:val="24"/>
                <w:szCs w:val="24"/>
                <w:highlight w:val="none"/>
                <w:lang w:val="en-US" w:eastAsia="zh-CN"/>
              </w:rPr>
              <w:t>分</w:t>
            </w:r>
          </w:p>
        </w:tc>
      </w:tr>
      <w:tr w14:paraId="41E59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vMerge w:val="continue"/>
            <w:tcBorders>
              <w:left w:val="single" w:color="auto" w:sz="4" w:space="0"/>
              <w:right w:val="single" w:color="auto" w:sz="4" w:space="0"/>
            </w:tcBorders>
            <w:vAlign w:val="center"/>
          </w:tcPr>
          <w:p w14:paraId="46422E77">
            <w:pPr>
              <w:spacing w:line="360" w:lineRule="auto"/>
              <w:ind w:firstLine="435"/>
              <w:jc w:val="center"/>
              <w:rPr>
                <w:rFonts w:asciiTheme="minorEastAsia" w:hAnsiTheme="minorEastAsia" w:eastAsiaTheme="minorEastAsia"/>
                <w:b/>
                <w:bCs/>
                <w:sz w:val="24"/>
                <w:highlight w:val="none"/>
              </w:rPr>
            </w:pPr>
          </w:p>
        </w:tc>
        <w:tc>
          <w:tcPr>
            <w:tcW w:w="749" w:type="pct"/>
            <w:tcBorders>
              <w:top w:val="single" w:color="auto" w:sz="4" w:space="0"/>
              <w:left w:val="single" w:color="auto" w:sz="4" w:space="0"/>
              <w:bottom w:val="single" w:color="auto" w:sz="4" w:space="0"/>
              <w:right w:val="single" w:color="auto" w:sz="4" w:space="0"/>
            </w:tcBorders>
            <w:vAlign w:val="center"/>
          </w:tcPr>
          <w:p w14:paraId="385475D5">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lang w:val="en-US" w:eastAsia="zh-CN"/>
              </w:rPr>
              <w:t>人员配备</w:t>
            </w:r>
          </w:p>
        </w:tc>
        <w:tc>
          <w:tcPr>
            <w:tcW w:w="2688" w:type="pct"/>
            <w:tcBorders>
              <w:top w:val="single" w:color="auto" w:sz="4" w:space="0"/>
              <w:left w:val="single" w:color="auto" w:sz="4" w:space="0"/>
              <w:bottom w:val="single" w:color="auto" w:sz="4" w:space="0"/>
              <w:right w:val="single" w:color="auto" w:sz="4" w:space="0"/>
            </w:tcBorders>
            <w:vAlign w:val="center"/>
          </w:tcPr>
          <w:p w14:paraId="170A3AA2">
            <w:pPr>
              <w:spacing w:line="360" w:lineRule="auto"/>
              <w:rPr>
                <w:rFonts w:hint="default"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1.供应商</w:t>
            </w:r>
            <w:r>
              <w:rPr>
                <w:rFonts w:hint="eastAsia" w:asciiTheme="minorEastAsia" w:hAnsiTheme="minorEastAsia"/>
                <w:sz w:val="24"/>
                <w:highlight w:val="none"/>
                <w:lang w:val="en-US" w:eastAsia="zh-CN"/>
              </w:rPr>
              <w:t>需</w:t>
            </w:r>
            <w:r>
              <w:rPr>
                <w:rFonts w:hint="eastAsia" w:asciiTheme="minorEastAsia" w:hAnsiTheme="minorEastAsia" w:eastAsiaTheme="minorEastAsia"/>
                <w:sz w:val="24"/>
                <w:highlight w:val="none"/>
                <w:lang w:val="en-US" w:eastAsia="zh-CN"/>
              </w:rPr>
              <w:t>为本项目配备</w:t>
            </w:r>
            <w:r>
              <w:rPr>
                <w:rFonts w:hint="eastAsia" w:asciiTheme="minorEastAsia" w:hAnsiTheme="minorEastAsia"/>
                <w:sz w:val="24"/>
                <w:highlight w:val="none"/>
                <w:lang w:val="en-US" w:eastAsia="zh-CN"/>
              </w:rPr>
              <w:t>不少于15人的</w:t>
            </w:r>
            <w:r>
              <w:rPr>
                <w:rFonts w:hint="eastAsia" w:asciiTheme="minorEastAsia" w:hAnsiTheme="minorEastAsia" w:eastAsiaTheme="minorEastAsia"/>
                <w:sz w:val="24"/>
                <w:highlight w:val="none"/>
                <w:lang w:val="en-US" w:eastAsia="zh-CN"/>
              </w:rPr>
              <w:t>赛事工作</w:t>
            </w:r>
            <w:r>
              <w:rPr>
                <w:rFonts w:hint="eastAsia" w:asciiTheme="minorEastAsia" w:hAnsiTheme="minorEastAsia"/>
                <w:sz w:val="24"/>
                <w:highlight w:val="none"/>
                <w:lang w:val="en-US" w:eastAsia="zh-CN"/>
              </w:rPr>
              <w:t>团队，</w:t>
            </w:r>
            <w:r>
              <w:rPr>
                <w:rFonts w:hint="eastAsia" w:asciiTheme="minorEastAsia" w:hAnsiTheme="minorEastAsia" w:eastAsiaTheme="minorEastAsia"/>
                <w:sz w:val="24"/>
                <w:highlight w:val="none"/>
                <w:lang w:val="en-US" w:eastAsia="zh-CN"/>
              </w:rPr>
              <w:t>本小项满分</w:t>
            </w:r>
            <w:r>
              <w:rPr>
                <w:rFonts w:hint="eastAsia" w:asciiTheme="minorEastAsia" w:hAnsiTheme="minorEastAsia"/>
                <w:sz w:val="24"/>
                <w:highlight w:val="none"/>
                <w:lang w:val="en-US" w:eastAsia="zh-CN"/>
              </w:rPr>
              <w:t>15</w:t>
            </w:r>
            <w:r>
              <w:rPr>
                <w:rFonts w:hint="eastAsia" w:asciiTheme="minorEastAsia" w:hAnsiTheme="minorEastAsia" w:eastAsiaTheme="minorEastAsia"/>
                <w:sz w:val="24"/>
                <w:highlight w:val="none"/>
                <w:lang w:val="en-US" w:eastAsia="zh-CN"/>
              </w:rPr>
              <w:t>分；</w:t>
            </w:r>
            <w:r>
              <w:rPr>
                <w:rFonts w:hint="eastAsia" w:asciiTheme="minorEastAsia" w:hAnsiTheme="minorEastAsia"/>
                <w:sz w:val="24"/>
                <w:highlight w:val="none"/>
                <w:lang w:val="en-US" w:eastAsia="zh-CN"/>
              </w:rPr>
              <w:t>每少1</w:t>
            </w:r>
            <w:r>
              <w:rPr>
                <w:rFonts w:hint="eastAsia" w:asciiTheme="minorEastAsia" w:hAnsiTheme="minorEastAsia" w:eastAsiaTheme="minorEastAsia"/>
                <w:sz w:val="24"/>
                <w:highlight w:val="none"/>
                <w:lang w:val="en-US" w:eastAsia="zh-CN"/>
              </w:rPr>
              <w:t>人</w:t>
            </w:r>
            <w:r>
              <w:rPr>
                <w:rFonts w:hint="eastAsia" w:asciiTheme="minorEastAsia" w:hAnsiTheme="minorEastAsia"/>
                <w:sz w:val="24"/>
                <w:highlight w:val="none"/>
                <w:lang w:val="en-US" w:eastAsia="zh-CN"/>
              </w:rPr>
              <w:t>扣</w:t>
            </w:r>
            <w:r>
              <w:rPr>
                <w:rFonts w:hint="eastAsia" w:asciiTheme="minorEastAsia" w:hAnsiTheme="minorEastAsia" w:eastAsiaTheme="minorEastAsia"/>
                <w:sz w:val="24"/>
                <w:highlight w:val="none"/>
                <w:lang w:val="en-US" w:eastAsia="zh-CN"/>
              </w:rPr>
              <w:t>1分，</w:t>
            </w:r>
            <w:r>
              <w:rPr>
                <w:rFonts w:hint="eastAsia" w:asciiTheme="minorEastAsia" w:hAnsiTheme="minorEastAsia"/>
                <w:sz w:val="24"/>
                <w:highlight w:val="none"/>
                <w:lang w:val="en-US" w:eastAsia="zh-CN"/>
              </w:rPr>
              <w:t>扣完为止。</w:t>
            </w:r>
          </w:p>
          <w:p w14:paraId="1D613EEB">
            <w:pPr>
              <w:spacing w:line="360" w:lineRule="auto"/>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2.供应商</w:t>
            </w:r>
            <w:r>
              <w:rPr>
                <w:rFonts w:hint="eastAsia" w:asciiTheme="minorEastAsia" w:hAnsiTheme="minorEastAsia"/>
                <w:sz w:val="24"/>
                <w:highlight w:val="none"/>
                <w:lang w:val="en-US" w:eastAsia="zh-CN"/>
              </w:rPr>
              <w:t>赛事工作团队</w:t>
            </w:r>
            <w:r>
              <w:rPr>
                <w:rFonts w:hint="eastAsia" w:asciiTheme="minorEastAsia" w:hAnsiTheme="minorEastAsia" w:eastAsiaTheme="minorEastAsia"/>
                <w:sz w:val="24"/>
                <w:highlight w:val="none"/>
                <w:lang w:val="en-US" w:eastAsia="zh-CN"/>
              </w:rPr>
              <w:t>人员具有</w:t>
            </w:r>
            <w:r>
              <w:rPr>
                <w:rFonts w:hint="eastAsia" w:asciiTheme="minorEastAsia" w:hAnsiTheme="minorEastAsia"/>
                <w:sz w:val="24"/>
                <w:highlight w:val="none"/>
                <w:lang w:val="en-US" w:eastAsia="zh-CN"/>
              </w:rPr>
              <w:t>社会体育指导员证书</w:t>
            </w:r>
            <w:r>
              <w:rPr>
                <w:rFonts w:hint="eastAsia" w:asciiTheme="minorEastAsia" w:hAnsiTheme="minorEastAsia" w:eastAsiaTheme="minorEastAsia"/>
                <w:sz w:val="24"/>
                <w:highlight w:val="none"/>
                <w:lang w:val="en-US" w:eastAsia="zh-CN"/>
              </w:rPr>
              <w:t>的，</w:t>
            </w:r>
            <w:r>
              <w:rPr>
                <w:rFonts w:hint="eastAsia" w:asciiTheme="minorEastAsia" w:hAnsiTheme="minorEastAsia"/>
                <w:sz w:val="24"/>
                <w:highlight w:val="none"/>
                <w:lang w:val="en-US" w:eastAsia="zh-CN"/>
              </w:rPr>
              <w:t>国家级社会体育指导员</w:t>
            </w:r>
            <w:r>
              <w:rPr>
                <w:rFonts w:hint="eastAsia" w:asciiTheme="minorEastAsia" w:hAnsiTheme="minorEastAsia" w:eastAsiaTheme="minorEastAsia"/>
                <w:sz w:val="24"/>
                <w:highlight w:val="none"/>
                <w:lang w:val="en-US" w:eastAsia="zh-CN"/>
              </w:rPr>
              <w:t>1人加</w:t>
            </w:r>
            <w:r>
              <w:rPr>
                <w:rFonts w:hint="eastAsia" w:asciiTheme="minorEastAsia" w:hAnsiTheme="minorEastAsia"/>
                <w:sz w:val="24"/>
                <w:highlight w:val="none"/>
                <w:lang w:val="en-US" w:eastAsia="zh-CN"/>
              </w:rPr>
              <w:t>3</w:t>
            </w:r>
            <w:r>
              <w:rPr>
                <w:rFonts w:hint="eastAsia" w:asciiTheme="minorEastAsia" w:hAnsiTheme="minorEastAsia" w:eastAsiaTheme="minorEastAsia"/>
                <w:sz w:val="24"/>
                <w:highlight w:val="none"/>
                <w:lang w:val="en-US" w:eastAsia="zh-CN"/>
              </w:rPr>
              <w:t>分，</w:t>
            </w:r>
            <w:r>
              <w:rPr>
                <w:rFonts w:hint="eastAsia" w:asciiTheme="minorEastAsia" w:hAnsiTheme="minorEastAsia"/>
                <w:sz w:val="24"/>
                <w:highlight w:val="none"/>
                <w:lang w:val="en-US" w:eastAsia="zh-CN"/>
              </w:rPr>
              <w:t>一级社会体育指导员加2分，二级社会体育指导员加1分；</w:t>
            </w:r>
            <w:r>
              <w:rPr>
                <w:rFonts w:hint="eastAsia" w:asciiTheme="minorEastAsia" w:hAnsiTheme="minorEastAsia" w:eastAsiaTheme="minorEastAsia"/>
                <w:sz w:val="24"/>
                <w:highlight w:val="none"/>
                <w:lang w:val="en-US" w:eastAsia="zh-CN"/>
              </w:rPr>
              <w:t>本小项满分3分。</w:t>
            </w:r>
          </w:p>
          <w:p w14:paraId="3D32B80F">
            <w:pPr>
              <w:spacing w:line="360" w:lineRule="auto"/>
              <w:rPr>
                <w:rFonts w:hint="eastAsia" w:asciiTheme="minorEastAsia" w:hAnsiTheme="minorEastAsia" w:eastAsiaTheme="minorEastAsia"/>
                <w:b/>
                <w:bCs/>
                <w:sz w:val="24"/>
                <w:highlight w:val="none"/>
                <w:lang w:val="en-US" w:eastAsia="zh-CN"/>
              </w:rPr>
            </w:pPr>
            <w:r>
              <w:rPr>
                <w:rFonts w:hint="eastAsia" w:asciiTheme="minorEastAsia" w:hAnsiTheme="minorEastAsia" w:eastAsiaTheme="minorEastAsia"/>
                <w:b/>
                <w:bCs/>
                <w:sz w:val="24"/>
                <w:highlight w:val="none"/>
                <w:lang w:val="en-US" w:eastAsia="zh-CN"/>
              </w:rPr>
              <w:t xml:space="preserve">注： </w:t>
            </w:r>
          </w:p>
          <w:p w14:paraId="20B09881">
            <w:pPr>
              <w:spacing w:line="360" w:lineRule="auto"/>
              <w:rPr>
                <w:rFonts w:hint="eastAsia" w:asciiTheme="minorEastAsia" w:hAnsiTheme="minorEastAsia" w:eastAsiaTheme="minorEastAsia"/>
                <w:b/>
                <w:bCs/>
                <w:sz w:val="24"/>
                <w:highlight w:val="none"/>
                <w:lang w:val="en-US" w:eastAsia="zh-CN"/>
              </w:rPr>
            </w:pPr>
            <w:r>
              <w:rPr>
                <w:rFonts w:hint="eastAsia" w:asciiTheme="minorEastAsia" w:hAnsiTheme="minorEastAsia" w:eastAsiaTheme="minorEastAsia"/>
                <w:b/>
                <w:bCs/>
                <w:sz w:val="24"/>
                <w:highlight w:val="none"/>
                <w:lang w:val="en-US" w:eastAsia="zh-CN"/>
              </w:rPr>
              <w:t>（1）响应文件中需提供赛事工作人员名单；</w:t>
            </w:r>
          </w:p>
          <w:p w14:paraId="3CD1BA4D">
            <w:pPr>
              <w:spacing w:line="360" w:lineRule="auto"/>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sz w:val="24"/>
                <w:highlight w:val="none"/>
                <w:lang w:val="en-US" w:eastAsia="zh-CN"/>
              </w:rPr>
              <w:t>（2）同时须提供供应商为上述所有赛事工作人员缴纳的自2023年12月1日以来任意 1 个月的社保证明材料</w:t>
            </w:r>
            <w:r>
              <w:rPr>
                <w:rFonts w:hint="eastAsia" w:asciiTheme="minorEastAsia" w:hAnsiTheme="minorEastAsia" w:eastAsiaTheme="minorEastAsia"/>
                <w:b/>
                <w:bCs/>
                <w:color w:val="auto"/>
                <w:sz w:val="24"/>
                <w:highlight w:val="none"/>
                <w:lang w:val="en-US" w:eastAsia="zh-CN"/>
              </w:rPr>
              <w:t>（与上述名单一一对应），未提供或提供不全的不得分；</w:t>
            </w:r>
          </w:p>
          <w:p w14:paraId="0E2F9066">
            <w:pPr>
              <w:spacing w:line="360" w:lineRule="auto"/>
              <w:rPr>
                <w:rFonts w:hint="default" w:asciiTheme="minorEastAsia" w:hAnsiTheme="minorEastAsia" w:eastAsiaTheme="minorEastAsia"/>
                <w:sz w:val="24"/>
                <w:highlight w:val="none"/>
                <w:lang w:val="en-US"/>
              </w:rPr>
            </w:pPr>
            <w:r>
              <w:rPr>
                <w:rFonts w:hint="eastAsia" w:asciiTheme="minorEastAsia" w:hAnsiTheme="minorEastAsia" w:eastAsiaTheme="minorEastAsia"/>
                <w:b/>
                <w:bCs/>
                <w:sz w:val="24"/>
                <w:highlight w:val="none"/>
                <w:lang w:val="en-US" w:eastAsia="zh-CN"/>
              </w:rPr>
              <w:t>（3）</w:t>
            </w:r>
            <w:r>
              <w:rPr>
                <w:rFonts w:hint="eastAsia" w:asciiTheme="minorEastAsia" w:hAnsiTheme="minorEastAsia"/>
                <w:b/>
                <w:bCs/>
                <w:sz w:val="24"/>
                <w:highlight w:val="none"/>
                <w:lang w:val="en-US" w:eastAsia="zh-CN"/>
              </w:rPr>
              <w:t>社会体育指导员证书提供复印件，包含封面和人员信息页</w:t>
            </w:r>
            <w:r>
              <w:rPr>
                <w:rFonts w:hint="eastAsia" w:asciiTheme="minorEastAsia" w:hAnsiTheme="minorEastAsia" w:eastAsiaTheme="minorEastAsia"/>
                <w:b/>
                <w:bCs/>
                <w:sz w:val="24"/>
                <w:highlight w:val="none"/>
                <w:lang w:val="en-US" w:eastAsia="zh-CN"/>
              </w:rPr>
              <w:t>。</w:t>
            </w:r>
          </w:p>
        </w:tc>
        <w:tc>
          <w:tcPr>
            <w:tcW w:w="694" w:type="pct"/>
            <w:tcBorders>
              <w:top w:val="single" w:color="auto" w:sz="4" w:space="0"/>
              <w:left w:val="single" w:color="auto" w:sz="4" w:space="0"/>
              <w:bottom w:val="single" w:color="auto" w:sz="4" w:space="0"/>
              <w:right w:val="single" w:color="auto" w:sz="4" w:space="0"/>
            </w:tcBorders>
            <w:vAlign w:val="center"/>
          </w:tcPr>
          <w:p w14:paraId="2DBCF886">
            <w:pPr>
              <w:spacing w:line="360" w:lineRule="auto"/>
              <w:jc w:val="both"/>
              <w:rPr>
                <w:rFonts w:hint="default" w:asciiTheme="minorEastAsia" w:hAnsiTheme="minorEastAsia" w:eastAsiaTheme="minorEastAsia"/>
                <w:b/>
                <w:bCs/>
                <w:sz w:val="24"/>
                <w:highlight w:val="none"/>
                <w:lang w:val="en-US" w:eastAsia="zh-CN"/>
              </w:rPr>
            </w:pPr>
            <w:r>
              <w:rPr>
                <w:rFonts w:hint="eastAsia" w:asciiTheme="minorEastAsia" w:hAnsiTheme="minorEastAsia"/>
                <w:b w:val="0"/>
                <w:bCs w:val="0"/>
                <w:sz w:val="24"/>
                <w:highlight w:val="none"/>
                <w:lang w:val="en-US" w:eastAsia="zh-CN"/>
              </w:rPr>
              <w:t>0-18分</w:t>
            </w:r>
          </w:p>
        </w:tc>
      </w:tr>
      <w:tr w14:paraId="366FE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vMerge w:val="continue"/>
            <w:tcBorders>
              <w:left w:val="single" w:color="auto" w:sz="4" w:space="0"/>
              <w:right w:val="single" w:color="auto" w:sz="4" w:space="0"/>
            </w:tcBorders>
            <w:vAlign w:val="center"/>
          </w:tcPr>
          <w:p w14:paraId="0ACD1F88">
            <w:pPr>
              <w:spacing w:line="360" w:lineRule="auto"/>
              <w:ind w:firstLine="435"/>
              <w:jc w:val="center"/>
              <w:rPr>
                <w:rFonts w:asciiTheme="minorEastAsia" w:hAnsiTheme="minorEastAsia" w:eastAsiaTheme="minorEastAsia"/>
                <w:b/>
                <w:bCs/>
                <w:sz w:val="24"/>
                <w:highlight w:val="none"/>
              </w:rPr>
            </w:pPr>
          </w:p>
        </w:tc>
        <w:tc>
          <w:tcPr>
            <w:tcW w:w="749" w:type="pct"/>
            <w:tcBorders>
              <w:top w:val="single" w:color="auto" w:sz="4" w:space="0"/>
              <w:left w:val="single" w:color="auto" w:sz="4" w:space="0"/>
              <w:bottom w:val="single" w:color="auto" w:sz="4" w:space="0"/>
              <w:right w:val="single" w:color="auto" w:sz="4" w:space="0"/>
            </w:tcBorders>
            <w:vAlign w:val="center"/>
          </w:tcPr>
          <w:p w14:paraId="51C50870">
            <w:pPr>
              <w:spacing w:line="360" w:lineRule="auto"/>
              <w:jc w:val="center"/>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供应商</w:t>
            </w:r>
          </w:p>
          <w:p w14:paraId="480CB49C">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lang w:val="en-US" w:eastAsia="zh-CN"/>
              </w:rPr>
              <w:t>业绩</w:t>
            </w:r>
          </w:p>
        </w:tc>
        <w:tc>
          <w:tcPr>
            <w:tcW w:w="2688" w:type="pct"/>
            <w:tcBorders>
              <w:top w:val="single" w:color="auto" w:sz="4" w:space="0"/>
              <w:left w:val="single" w:color="auto" w:sz="4" w:space="0"/>
              <w:bottom w:val="single" w:color="auto" w:sz="4" w:space="0"/>
              <w:right w:val="single" w:color="auto" w:sz="4" w:space="0"/>
            </w:tcBorders>
            <w:vAlign w:val="center"/>
          </w:tcPr>
          <w:p w14:paraId="41465A67">
            <w:pPr>
              <w:spacing w:line="360" w:lineRule="auto"/>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自2019年1月1日以来，供应商具有</w:t>
            </w:r>
            <w:r>
              <w:rPr>
                <w:rFonts w:hint="eastAsia" w:asciiTheme="minorEastAsia" w:hAnsiTheme="minorEastAsia" w:eastAsiaTheme="minorEastAsia"/>
                <w:b w:val="0"/>
                <w:bCs w:val="0"/>
                <w:color w:val="auto"/>
                <w:sz w:val="24"/>
                <w:highlight w:val="none"/>
                <w:lang w:val="en-US" w:eastAsia="zh-CN"/>
              </w:rPr>
              <w:t>县（区）级及以上党政机关或政府部门主办的</w:t>
            </w:r>
            <w:r>
              <w:rPr>
                <w:rFonts w:hint="eastAsia" w:asciiTheme="minorEastAsia" w:hAnsiTheme="minorEastAsia" w:eastAsiaTheme="minorEastAsia"/>
                <w:sz w:val="24"/>
                <w:highlight w:val="none"/>
                <w:lang w:val="en-US" w:eastAsia="zh-CN"/>
              </w:rPr>
              <w:t>体育赛事</w:t>
            </w:r>
            <w:r>
              <w:rPr>
                <w:rFonts w:hint="eastAsia" w:asciiTheme="minorEastAsia" w:hAnsiTheme="minorEastAsia"/>
                <w:sz w:val="24"/>
                <w:highlight w:val="none"/>
                <w:lang w:val="en-US" w:eastAsia="zh-CN"/>
              </w:rPr>
              <w:t>执行</w:t>
            </w:r>
            <w:r>
              <w:rPr>
                <w:rFonts w:hint="eastAsia" w:asciiTheme="minorEastAsia" w:hAnsiTheme="minorEastAsia" w:eastAsiaTheme="minorEastAsia"/>
                <w:sz w:val="24"/>
                <w:highlight w:val="none"/>
                <w:lang w:val="en-US" w:eastAsia="zh-CN"/>
              </w:rPr>
              <w:t>服务业绩的，每提供一个得4分，满分12分。</w:t>
            </w:r>
          </w:p>
          <w:p w14:paraId="60A40152">
            <w:pPr>
              <w:spacing w:line="360" w:lineRule="auto"/>
              <w:rPr>
                <w:rFonts w:hint="eastAsia" w:asciiTheme="minorEastAsia" w:hAnsiTheme="minorEastAsia" w:eastAsiaTheme="minorEastAsia"/>
                <w:b/>
                <w:bCs/>
                <w:sz w:val="24"/>
                <w:highlight w:val="none"/>
                <w:lang w:val="en-US" w:eastAsia="zh-CN"/>
              </w:rPr>
            </w:pPr>
            <w:r>
              <w:rPr>
                <w:rFonts w:hint="eastAsia" w:asciiTheme="minorEastAsia" w:hAnsiTheme="minorEastAsia" w:eastAsiaTheme="minorEastAsia"/>
                <w:b/>
                <w:bCs/>
                <w:sz w:val="24"/>
                <w:highlight w:val="none"/>
                <w:lang w:val="en-US" w:eastAsia="zh-CN"/>
              </w:rPr>
              <w:t>注：</w:t>
            </w:r>
          </w:p>
          <w:p w14:paraId="549D22F3">
            <w:pPr>
              <w:spacing w:line="360" w:lineRule="auto"/>
              <w:rPr>
                <w:rFonts w:hint="default"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（1）业绩须为已完成业绩，时间以签订时间为准，提供业绩合同和验收报告，若合同中无法体现签订时间、主办单位、项目内容等关键信息的，须另附业主证明材料，否则不予认可。</w:t>
            </w:r>
          </w:p>
          <w:p w14:paraId="7223496D">
            <w:pPr>
              <w:spacing w:line="360" w:lineRule="auto"/>
              <w:rPr>
                <w:rFonts w:hint="default"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（2）</w:t>
            </w:r>
            <w:r>
              <w:rPr>
                <w:rFonts w:hint="eastAsia" w:asciiTheme="minorEastAsia" w:hAnsiTheme="minorEastAsia"/>
                <w:b/>
                <w:bCs/>
                <w:color w:val="auto"/>
                <w:sz w:val="24"/>
                <w:highlight w:val="none"/>
                <w:lang w:val="en-US" w:eastAsia="zh-CN"/>
              </w:rPr>
              <w:t>每个项目提供赛事照片3张，宣传报道截图2张。</w:t>
            </w:r>
          </w:p>
        </w:tc>
        <w:tc>
          <w:tcPr>
            <w:tcW w:w="694" w:type="pct"/>
            <w:tcBorders>
              <w:top w:val="single" w:color="auto" w:sz="4" w:space="0"/>
              <w:left w:val="single" w:color="auto" w:sz="4" w:space="0"/>
              <w:bottom w:val="single" w:color="auto" w:sz="4" w:space="0"/>
              <w:right w:val="single" w:color="auto" w:sz="4" w:space="0"/>
            </w:tcBorders>
            <w:vAlign w:val="center"/>
          </w:tcPr>
          <w:p w14:paraId="00AC4429">
            <w:pPr>
              <w:spacing w:line="360" w:lineRule="auto"/>
              <w:jc w:val="center"/>
              <w:rPr>
                <w:rFonts w:asciiTheme="minorEastAsia" w:hAnsiTheme="minorEastAsia" w:eastAsiaTheme="minorEastAsia"/>
                <w:b/>
                <w:bCs/>
                <w:sz w:val="24"/>
                <w:highlight w:val="none"/>
              </w:rPr>
            </w:pPr>
            <w:r>
              <w:rPr>
                <w:rFonts w:hint="eastAsia" w:ascii="宋体" w:hAnsi="宋体" w:eastAsia="宋体" w:cs="宋体"/>
                <w:b w:val="0"/>
                <w:bCs w:val="0"/>
                <w:sz w:val="24"/>
                <w:szCs w:val="24"/>
                <w:highlight w:val="none"/>
                <w:lang w:val="en-US" w:eastAsia="zh-CN"/>
              </w:rPr>
              <w:t>0-</w:t>
            </w:r>
            <w:r>
              <w:rPr>
                <w:rFonts w:hint="eastAsia" w:ascii="宋体" w:hAnsi="宋体" w:cs="宋体"/>
                <w:b w:val="0"/>
                <w:bCs w:val="0"/>
                <w:sz w:val="24"/>
                <w:szCs w:val="24"/>
                <w:highlight w:val="none"/>
                <w:lang w:val="en-US" w:eastAsia="zh-CN"/>
              </w:rPr>
              <w:t>12</w:t>
            </w:r>
            <w:r>
              <w:rPr>
                <w:rFonts w:hint="eastAsia" w:ascii="宋体" w:hAnsi="宋体" w:eastAsia="宋体" w:cs="宋体"/>
                <w:b w:val="0"/>
                <w:bCs w:val="0"/>
                <w:sz w:val="24"/>
                <w:szCs w:val="24"/>
                <w:highlight w:val="none"/>
                <w:lang w:val="en-US" w:eastAsia="zh-CN"/>
              </w:rPr>
              <w:t>分</w:t>
            </w:r>
          </w:p>
        </w:tc>
      </w:tr>
      <w:tr w14:paraId="1A566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vMerge w:val="continue"/>
            <w:tcBorders>
              <w:left w:val="single" w:color="auto" w:sz="4" w:space="0"/>
              <w:right w:val="single" w:color="auto" w:sz="4" w:space="0"/>
            </w:tcBorders>
            <w:vAlign w:val="center"/>
          </w:tcPr>
          <w:p w14:paraId="0E2B2A10">
            <w:pPr>
              <w:spacing w:line="360" w:lineRule="auto"/>
              <w:ind w:firstLine="435"/>
              <w:jc w:val="center"/>
              <w:rPr>
                <w:rFonts w:asciiTheme="minorEastAsia" w:hAnsiTheme="minorEastAsia" w:eastAsiaTheme="minorEastAsia"/>
                <w:b/>
                <w:bCs/>
                <w:sz w:val="24"/>
                <w:highlight w:val="none"/>
              </w:rPr>
            </w:pPr>
          </w:p>
        </w:tc>
        <w:tc>
          <w:tcPr>
            <w:tcW w:w="749" w:type="pct"/>
            <w:tcBorders>
              <w:top w:val="single" w:color="auto" w:sz="4" w:space="0"/>
              <w:left w:val="single" w:color="auto" w:sz="4" w:space="0"/>
              <w:bottom w:val="single" w:color="auto" w:sz="4" w:space="0"/>
              <w:right w:val="single" w:color="auto" w:sz="4" w:space="0"/>
            </w:tcBorders>
            <w:vAlign w:val="center"/>
          </w:tcPr>
          <w:p w14:paraId="27BCD966">
            <w:pPr>
              <w:pageBreakBefore w:val="0"/>
              <w:widowControl/>
              <w:tabs>
                <w:tab w:val="left" w:pos="720"/>
              </w:tabs>
              <w:kinsoku/>
              <w:wordWrap/>
              <w:overflowPunct/>
              <w:topLinePunct w:val="0"/>
              <w:autoSpaceDE/>
              <w:autoSpaceDN/>
              <w:bidi w:val="0"/>
              <w:adjustRightInd/>
              <w:snapToGrid/>
              <w:spacing w:after="0" w:line="240" w:lineRule="auto"/>
              <w:ind w:left="0" w:right="0" w:firstLine="0"/>
              <w:jc w:val="center"/>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供应商</w:t>
            </w:r>
          </w:p>
          <w:p w14:paraId="787CF070">
            <w:pPr>
              <w:pageBreakBefore w:val="0"/>
              <w:widowControl/>
              <w:tabs>
                <w:tab w:val="left" w:pos="720"/>
              </w:tabs>
              <w:kinsoku/>
              <w:wordWrap/>
              <w:overflowPunct/>
              <w:topLinePunct w:val="0"/>
              <w:autoSpaceDE/>
              <w:autoSpaceDN/>
              <w:bidi w:val="0"/>
              <w:adjustRightInd/>
              <w:snapToGrid/>
              <w:spacing w:after="0" w:line="240" w:lineRule="auto"/>
              <w:ind w:left="0" w:right="0" w:firstLine="0"/>
              <w:jc w:val="center"/>
              <w:textAlignment w:val="auto"/>
              <w:rPr>
                <w:rFonts w:asciiTheme="minorEastAsia" w:hAnsiTheme="minorEastAsia" w:eastAsiaTheme="minorEastAsia"/>
                <w:sz w:val="24"/>
                <w:highlight w:val="none"/>
              </w:rPr>
            </w:pPr>
            <w:r>
              <w:rPr>
                <w:rFonts w:hint="eastAsia" w:ascii="宋体" w:hAnsi="宋体" w:eastAsia="宋体" w:cs="宋体"/>
                <w:b w:val="0"/>
                <w:bCs w:val="0"/>
                <w:sz w:val="24"/>
                <w:szCs w:val="24"/>
                <w:highlight w:val="none"/>
                <w:lang w:val="en-US" w:eastAsia="zh-CN"/>
              </w:rPr>
              <w:t>荣誉</w:t>
            </w:r>
          </w:p>
        </w:tc>
        <w:tc>
          <w:tcPr>
            <w:tcW w:w="2688" w:type="pct"/>
            <w:tcBorders>
              <w:top w:val="single" w:color="auto" w:sz="4" w:space="0"/>
              <w:left w:val="single" w:color="auto" w:sz="4" w:space="0"/>
              <w:bottom w:val="single" w:color="auto" w:sz="4" w:space="0"/>
              <w:right w:val="single" w:color="auto" w:sz="4" w:space="0"/>
            </w:tcBorders>
            <w:vAlign w:val="center"/>
          </w:tcPr>
          <w:p w14:paraId="46E39B4B">
            <w:pPr>
              <w:spacing w:line="360" w:lineRule="auto"/>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自2019年 1 月 1 日以来（以获奖时间为准），供应商服务或运营过的赛事活动获得县区级及以上党政机关或政府部门表彰的，每提供一个得3分，满分9分。</w:t>
            </w:r>
          </w:p>
          <w:p w14:paraId="5028F1C7">
            <w:pPr>
              <w:spacing w:line="360" w:lineRule="auto"/>
              <w:rPr>
                <w:rFonts w:hint="eastAsia" w:asciiTheme="minorEastAsia" w:hAnsiTheme="minorEastAsia" w:eastAsiaTheme="minorEastAsia"/>
                <w:b/>
                <w:bCs/>
                <w:sz w:val="24"/>
                <w:highlight w:val="none"/>
                <w:lang w:val="en-US" w:eastAsia="zh-CN"/>
              </w:rPr>
            </w:pPr>
            <w:r>
              <w:rPr>
                <w:rFonts w:hint="eastAsia" w:asciiTheme="minorEastAsia" w:hAnsiTheme="minorEastAsia" w:eastAsiaTheme="minorEastAsia"/>
                <w:b/>
                <w:bCs/>
                <w:sz w:val="24"/>
                <w:highlight w:val="none"/>
                <w:lang w:val="en-US" w:eastAsia="zh-CN"/>
              </w:rPr>
              <w:t>注：</w:t>
            </w:r>
          </w:p>
          <w:p w14:paraId="7AEF3AA4">
            <w:pPr>
              <w:spacing w:line="360" w:lineRule="auto"/>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（1）投标文件中提供材料：获奖证书、表彰文件、网上公示截图（具有其中之一即可）等证明材料扫描件；</w:t>
            </w:r>
          </w:p>
          <w:p w14:paraId="79DEE06A">
            <w:pPr>
              <w:spacing w:line="360" w:lineRule="auto"/>
              <w:rPr>
                <w:rFonts w:hint="eastAsia" w:asciiTheme="minorEastAsia" w:hAnsiTheme="minorEastAsia" w:eastAsiaTheme="minorEastAsia"/>
                <w:b/>
                <w:bCs/>
                <w:sz w:val="24"/>
                <w:highlight w:val="none"/>
                <w:lang w:val="en-US" w:eastAsia="zh-CN"/>
              </w:rPr>
            </w:pPr>
            <w:r>
              <w:rPr>
                <w:rFonts w:hint="eastAsia" w:asciiTheme="minorEastAsia" w:hAnsiTheme="minorEastAsia" w:eastAsiaTheme="minorEastAsia"/>
                <w:b/>
                <w:bCs/>
                <w:color w:val="auto"/>
                <w:sz w:val="24"/>
                <w:highlight w:val="none"/>
                <w:lang w:val="en-US" w:eastAsia="zh-CN"/>
              </w:rPr>
              <w:t>（2）所提供赛事业绩和表彰，主办单位须是县区级及以上党政机关或政府部门，同时合同需体现主办单位信息、供应商名称、合同签订时间、项目内容等评审因素，如无法体现，须另附业主单位的相关证明材料扫描</w:t>
            </w:r>
            <w:r>
              <w:rPr>
                <w:rFonts w:hint="eastAsia" w:asciiTheme="minorEastAsia" w:hAnsiTheme="minorEastAsia" w:eastAsiaTheme="minorEastAsia"/>
                <w:b/>
                <w:bCs/>
                <w:sz w:val="24"/>
                <w:highlight w:val="none"/>
                <w:lang w:val="en-US" w:eastAsia="zh-CN"/>
              </w:rPr>
              <w:t>件，未提供或提供不全的不得分。</w:t>
            </w:r>
          </w:p>
        </w:tc>
        <w:tc>
          <w:tcPr>
            <w:tcW w:w="694" w:type="pct"/>
            <w:tcBorders>
              <w:top w:val="single" w:color="auto" w:sz="4" w:space="0"/>
              <w:left w:val="single" w:color="auto" w:sz="4" w:space="0"/>
              <w:bottom w:val="single" w:color="auto" w:sz="4" w:space="0"/>
              <w:right w:val="single" w:color="auto" w:sz="4" w:space="0"/>
            </w:tcBorders>
            <w:vAlign w:val="center"/>
          </w:tcPr>
          <w:p w14:paraId="255898DD">
            <w:pPr>
              <w:spacing w:line="360" w:lineRule="auto"/>
              <w:jc w:val="center"/>
              <w:rPr>
                <w:rFonts w:asciiTheme="minorEastAsia" w:hAnsiTheme="minorEastAsia" w:eastAsiaTheme="minorEastAsia"/>
                <w:b/>
                <w:bCs/>
                <w:sz w:val="24"/>
                <w:highlight w:val="none"/>
              </w:rPr>
            </w:pPr>
            <w:r>
              <w:rPr>
                <w:rFonts w:hint="eastAsia" w:ascii="宋体" w:hAnsi="宋体" w:eastAsia="宋体" w:cs="宋体"/>
                <w:b w:val="0"/>
                <w:bCs w:val="0"/>
                <w:sz w:val="24"/>
                <w:szCs w:val="24"/>
                <w:highlight w:val="none"/>
                <w:lang w:val="en-US" w:eastAsia="zh-CN"/>
              </w:rPr>
              <w:t>0-</w:t>
            </w:r>
            <w:r>
              <w:rPr>
                <w:rFonts w:hint="eastAsia" w:ascii="宋体" w:hAnsi="宋体" w:cs="宋体"/>
                <w:b w:val="0"/>
                <w:bCs w:val="0"/>
                <w:sz w:val="24"/>
                <w:szCs w:val="24"/>
                <w:highlight w:val="none"/>
                <w:lang w:val="en-US" w:eastAsia="zh-CN"/>
              </w:rPr>
              <w:t>9</w:t>
            </w:r>
            <w:r>
              <w:rPr>
                <w:rFonts w:hint="eastAsia" w:ascii="宋体" w:hAnsi="宋体" w:eastAsia="宋体" w:cs="宋体"/>
                <w:b w:val="0"/>
                <w:bCs w:val="0"/>
                <w:sz w:val="24"/>
                <w:szCs w:val="24"/>
                <w:highlight w:val="none"/>
                <w:lang w:val="en-US" w:eastAsia="zh-CN"/>
              </w:rPr>
              <w:t>分</w:t>
            </w:r>
          </w:p>
        </w:tc>
      </w:tr>
      <w:tr w14:paraId="3112A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tcBorders>
              <w:left w:val="single" w:color="auto" w:sz="4" w:space="0"/>
              <w:right w:val="single" w:color="auto" w:sz="4" w:space="0"/>
            </w:tcBorders>
            <w:vAlign w:val="center"/>
          </w:tcPr>
          <w:p w14:paraId="7A09124A">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价格分</w:t>
            </w:r>
          </w:p>
          <w:p w14:paraId="12BAEB65">
            <w:pPr>
              <w:spacing w:line="360" w:lineRule="auto"/>
              <w:jc w:val="center"/>
              <w:rPr>
                <w:rFonts w:asciiTheme="minorEastAsia" w:hAnsiTheme="minorEastAsia" w:eastAsiaTheme="minorEastAsia"/>
                <w:b/>
                <w:bCs/>
                <w:sz w:val="24"/>
                <w:highlight w:val="none"/>
              </w:rPr>
            </w:pPr>
            <w:r>
              <w:rPr>
                <w:rFonts w:hint="eastAsia" w:asciiTheme="minorEastAsia" w:hAnsiTheme="minorEastAsia" w:eastAsiaTheme="minorEastAsia"/>
                <w:sz w:val="24"/>
                <w:highlight w:val="none"/>
              </w:rPr>
              <w:t>（</w:t>
            </w:r>
            <w:r>
              <w:rPr>
                <w:rFonts w:hint="eastAsia" w:asciiTheme="minorEastAsia" w:hAnsiTheme="minorEastAsia" w:eastAsiaTheme="minorEastAsia"/>
                <w:sz w:val="24"/>
                <w:highlight w:val="none"/>
                <w:u w:val="single"/>
                <w:lang w:val="en-US" w:eastAsia="zh-CN"/>
              </w:rPr>
              <w:t>30</w:t>
            </w:r>
            <w:r>
              <w:rPr>
                <w:rFonts w:hint="eastAsia" w:asciiTheme="minorEastAsia" w:hAnsiTheme="minorEastAsia" w:eastAsiaTheme="minorEastAsia"/>
                <w:sz w:val="24"/>
                <w:highlight w:val="none"/>
              </w:rPr>
              <w:t>分）</w:t>
            </w:r>
          </w:p>
        </w:tc>
        <w:tc>
          <w:tcPr>
            <w:tcW w:w="4132" w:type="pct"/>
            <w:gridSpan w:val="3"/>
            <w:tcBorders>
              <w:top w:val="single" w:color="auto" w:sz="4" w:space="0"/>
              <w:left w:val="single" w:color="auto" w:sz="4" w:space="0"/>
              <w:bottom w:val="single" w:color="auto" w:sz="4" w:space="0"/>
              <w:right w:val="single" w:color="auto" w:sz="4" w:space="0"/>
            </w:tcBorders>
            <w:vAlign w:val="center"/>
          </w:tcPr>
          <w:p w14:paraId="15232179">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价格分统一采用低价优先法，即满足招标文件要求且投标价格最低的投标报价为评标基准价，其价格分为满分</w:t>
            </w:r>
            <w:r>
              <w:rPr>
                <w:rFonts w:hint="eastAsia" w:asciiTheme="minorEastAsia" w:hAnsiTheme="minorEastAsia" w:eastAsiaTheme="minorEastAsia"/>
                <w:sz w:val="24"/>
                <w:highlight w:val="none"/>
                <w:u w:val="single"/>
                <w:lang w:val="en-US" w:eastAsia="zh-CN"/>
              </w:rPr>
              <w:t>30</w:t>
            </w:r>
            <w:r>
              <w:rPr>
                <w:rFonts w:hint="eastAsia" w:asciiTheme="minorEastAsia" w:hAnsiTheme="minorEastAsia" w:eastAsiaTheme="minorEastAsia"/>
                <w:sz w:val="24"/>
                <w:highlight w:val="none"/>
              </w:rPr>
              <w:t>分。其他投标人的价格分统一按照下列公式计算：</w:t>
            </w:r>
          </w:p>
          <w:p w14:paraId="2175DD09">
            <w:pPr>
              <w:spacing w:line="360" w:lineRule="auto"/>
              <w:rPr>
                <w:rFonts w:asciiTheme="minorEastAsia" w:hAnsiTheme="minorEastAsia" w:eastAsiaTheme="minorEastAsia"/>
                <w:b/>
                <w:bCs/>
                <w:sz w:val="24"/>
                <w:highlight w:val="none"/>
              </w:rPr>
            </w:pPr>
            <w:r>
              <w:rPr>
                <w:rFonts w:hint="eastAsia" w:asciiTheme="minorEastAsia" w:hAnsiTheme="minorEastAsia" w:eastAsiaTheme="minorEastAsia"/>
                <w:sz w:val="24"/>
                <w:highlight w:val="none"/>
              </w:rPr>
              <w:t>投标报价得分＝（评标基准价/投标报价）×</w:t>
            </w:r>
            <w:r>
              <w:rPr>
                <w:rFonts w:hint="eastAsia" w:asciiTheme="minorEastAsia" w:hAnsiTheme="minorEastAsia" w:eastAsiaTheme="minorEastAsia"/>
                <w:sz w:val="24"/>
                <w:highlight w:val="none"/>
                <w:u w:val="single"/>
                <w:lang w:val="en-US" w:eastAsia="zh-CN"/>
              </w:rPr>
              <w:t>30</w:t>
            </w:r>
            <w:r>
              <w:rPr>
                <w:rFonts w:hint="eastAsia" w:asciiTheme="minorEastAsia" w:hAnsiTheme="minorEastAsia" w:eastAsiaTheme="minorEastAsia"/>
                <w:sz w:val="24"/>
                <w:highlight w:val="none"/>
              </w:rPr>
              <w:t>％×100</w:t>
            </w:r>
          </w:p>
        </w:tc>
      </w:tr>
    </w:tbl>
    <w:p w14:paraId="78F17C6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jc w:val="both"/>
        <w:textAlignment w:val="auto"/>
        <w:rPr>
          <w:rFonts w:hint="eastAsia" w:ascii="楷体_GB2312" w:hAnsi="楷体_GB2312" w:eastAsia="楷体_GB2312" w:cs="楷体_GB2312"/>
          <w:b/>
          <w:bCs/>
          <w:i w:val="0"/>
          <w:iCs w:val="0"/>
          <w:caps w:val="0"/>
          <w:color w:val="404040"/>
          <w:spacing w:val="0"/>
          <w:sz w:val="32"/>
          <w:szCs w:val="32"/>
          <w:highlight w:val="none"/>
          <w:shd w:val="clear" w:fill="FFFFFF"/>
          <w:lang w:val="en" w:eastAsia="zh-CN"/>
        </w:rPr>
      </w:pPr>
    </w:p>
    <w:p w14:paraId="1C9D649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643" w:firstLineChars="200"/>
        <w:jc w:val="both"/>
        <w:textAlignment w:val="auto"/>
        <w:rPr>
          <w:rFonts w:hint="eastAsia" w:ascii="楷体_GB2312" w:hAnsi="楷体_GB2312" w:eastAsia="楷体_GB2312" w:cs="楷体_GB2312"/>
          <w:b/>
          <w:bCs/>
          <w:i w:val="0"/>
          <w:iCs w:val="0"/>
          <w:caps w:val="0"/>
          <w:color w:val="404040"/>
          <w:spacing w:val="0"/>
          <w:sz w:val="32"/>
          <w:szCs w:val="32"/>
          <w:highlight w:val="none"/>
        </w:rPr>
      </w:pPr>
      <w:r>
        <w:rPr>
          <w:rFonts w:hint="eastAsia" w:ascii="楷体_GB2312" w:hAnsi="楷体_GB2312" w:eastAsia="楷体_GB2312" w:cs="楷体_GB2312"/>
          <w:b/>
          <w:bCs/>
          <w:i w:val="0"/>
          <w:iCs w:val="0"/>
          <w:caps w:val="0"/>
          <w:color w:val="404040"/>
          <w:spacing w:val="0"/>
          <w:sz w:val="32"/>
          <w:szCs w:val="32"/>
          <w:highlight w:val="none"/>
          <w:shd w:val="clear" w:fill="FFFFFF"/>
          <w:lang w:val="en" w:eastAsia="zh-CN"/>
        </w:rPr>
        <w:t>(</w:t>
      </w:r>
      <w:r>
        <w:rPr>
          <w:rFonts w:hint="eastAsia" w:ascii="楷体_GB2312" w:hAnsi="楷体_GB2312" w:eastAsia="楷体_GB2312" w:cs="楷体_GB2312"/>
          <w:b/>
          <w:bCs/>
          <w:i w:val="0"/>
          <w:iCs w:val="0"/>
          <w:caps w:val="0"/>
          <w:color w:val="404040"/>
          <w:spacing w:val="0"/>
          <w:sz w:val="32"/>
          <w:szCs w:val="32"/>
          <w:highlight w:val="none"/>
          <w:shd w:val="clear" w:fill="FFFFFF"/>
          <w:lang w:val="en" w:eastAsia="zh"/>
        </w:rPr>
        <w:t>六）</w:t>
      </w:r>
      <w:r>
        <w:rPr>
          <w:rFonts w:hint="eastAsia" w:ascii="楷体_GB2312" w:hAnsi="楷体_GB2312" w:eastAsia="楷体_GB2312" w:cs="楷体_GB2312"/>
          <w:b/>
          <w:bCs/>
          <w:i w:val="0"/>
          <w:iCs w:val="0"/>
          <w:caps w:val="0"/>
          <w:color w:val="404040"/>
          <w:spacing w:val="0"/>
          <w:sz w:val="32"/>
          <w:szCs w:val="32"/>
          <w:highlight w:val="none"/>
          <w:shd w:val="clear" w:fill="FFFFFF"/>
        </w:rPr>
        <w:t>废标</w:t>
      </w:r>
    </w:p>
    <w:p w14:paraId="112F117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根据《中华人民共和国政府采购法》第三十六条之规定，在采购中，出现下列情形之一的，应予废标：</w:t>
      </w:r>
    </w:p>
    <w:p w14:paraId="63733BD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一）</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符合专业条件的供应商或者对招标文件作实质响应的供应商不足3家的；</w:t>
      </w:r>
    </w:p>
    <w:p w14:paraId="194356C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二）</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出现影响采购公正的违法、违规行为的；</w:t>
      </w:r>
    </w:p>
    <w:p w14:paraId="0F58D69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三）</w:t>
      </w:r>
      <w:r>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t>投标人的报价均超过了采购预算，采购单位不能支付的；</w:t>
      </w:r>
    </w:p>
    <w:p w14:paraId="53723D2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四）</w:t>
      </w:r>
      <w:r>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t>因重大变故，采购任务取消的。</w:t>
      </w:r>
    </w:p>
    <w:p w14:paraId="2D9C535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iCs w:val="0"/>
          <w:caps w:val="0"/>
          <w:color w:val="404040"/>
          <w:spacing w:val="0"/>
          <w:sz w:val="32"/>
          <w:szCs w:val="32"/>
          <w:highlight w:val="none"/>
        </w:rPr>
      </w:pPr>
      <w:r>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t>废标后，采购人应当将废标理</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由通知所有投标人。</w:t>
      </w:r>
    </w:p>
    <w:p w14:paraId="475EA0D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3" w:firstLineChars="200"/>
        <w:jc w:val="both"/>
        <w:textAlignment w:val="auto"/>
        <w:rPr>
          <w:rFonts w:hint="eastAsia" w:ascii="楷体_GB2312" w:hAnsi="楷体_GB2312" w:eastAsia="楷体_GB2312" w:cs="楷体_GB2312"/>
          <w:b/>
          <w:bCs/>
          <w:i w:val="0"/>
          <w:iCs w:val="0"/>
          <w:caps w:val="0"/>
          <w:color w:val="404040"/>
          <w:spacing w:val="0"/>
          <w:sz w:val="32"/>
          <w:szCs w:val="32"/>
          <w:highlight w:val="none"/>
          <w:shd w:val="clear" w:fill="FFFFFF"/>
          <w:lang w:val="en" w:eastAsia="zh-CN"/>
        </w:rPr>
      </w:pPr>
      <w:r>
        <w:rPr>
          <w:rFonts w:hint="eastAsia" w:ascii="楷体_GB2312" w:hAnsi="楷体_GB2312" w:eastAsia="楷体_GB2312" w:cs="楷体_GB2312"/>
          <w:b/>
          <w:bCs/>
          <w:i w:val="0"/>
          <w:iCs w:val="0"/>
          <w:caps w:val="0"/>
          <w:color w:val="404040"/>
          <w:spacing w:val="0"/>
          <w:sz w:val="32"/>
          <w:szCs w:val="32"/>
          <w:highlight w:val="none"/>
          <w:shd w:val="clear" w:fill="FFFFFF"/>
          <w:lang w:val="en-US" w:eastAsia="zh"/>
        </w:rPr>
        <w:t>（七）</w:t>
      </w:r>
      <w:r>
        <w:rPr>
          <w:rFonts w:hint="eastAsia" w:ascii="楷体_GB2312" w:hAnsi="楷体_GB2312" w:eastAsia="楷体_GB2312" w:cs="楷体_GB2312"/>
          <w:b/>
          <w:bCs/>
          <w:i w:val="0"/>
          <w:iCs w:val="0"/>
          <w:caps w:val="0"/>
          <w:color w:val="404040"/>
          <w:spacing w:val="0"/>
          <w:sz w:val="32"/>
          <w:szCs w:val="32"/>
          <w:highlight w:val="none"/>
          <w:shd w:val="clear" w:fill="FFFFFF"/>
          <w:lang w:val="en" w:eastAsia="zh-CN"/>
        </w:rPr>
        <w:t>无效标</w:t>
      </w:r>
    </w:p>
    <w:p w14:paraId="7D19EF9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投标文件有下列情况之一的，其投标文件作无效处理：</w:t>
      </w:r>
    </w:p>
    <w:p w14:paraId="480B7BD7">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shd w:val="clear" w:fill="FFFFFF"/>
          <w:lang w:val="en" w:eastAsia="zh-CN"/>
          <w14:textFill>
            <w14:solidFill>
              <w14:schemeClr w14:val="tx1"/>
            </w14:solidFill>
          </w14:textFill>
        </w:rPr>
        <w:t>1.</w:t>
      </w: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开标时授权委托人与投标文件中授权委托书所载内容有异的；</w:t>
      </w:r>
    </w:p>
    <w:p w14:paraId="67E8E0F6">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shd w:val="clear" w:fill="FFFFFF"/>
          <w:lang w:val="en" w:eastAsia="zh-CN"/>
          <w14:textFill>
            <w14:solidFill>
              <w14:schemeClr w14:val="tx1"/>
            </w14:solidFill>
          </w14:textFill>
        </w:rPr>
        <w:t>2.</w:t>
      </w: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投标文件组成漏项或未按规定的格式编制或投标文件正、副本份数不足，内容不全或内容字迹模糊辨认不清的。</w:t>
      </w:r>
    </w:p>
    <w:p w14:paraId="7DA0A19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shd w:val="clear" w:fill="FFFFFF"/>
          <w:lang w:val="en" w:eastAsia="zh-CN"/>
          <w14:textFill>
            <w14:solidFill>
              <w14:schemeClr w14:val="tx1"/>
            </w14:solidFill>
          </w14:textFill>
        </w:rPr>
        <w:t>3.</w:t>
      </w: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投标人不具备投标资格的，或未按规定交纳投标保证金的；</w:t>
      </w:r>
    </w:p>
    <w:p w14:paraId="1A3D3D3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i w:val="0"/>
          <w:iCs w:val="0"/>
          <w:caps w:val="0"/>
          <w:color w:val="404040"/>
          <w:spacing w:val="0"/>
          <w:sz w:val="32"/>
          <w:szCs w:val="32"/>
          <w:highlight w:val="none"/>
        </w:rPr>
      </w:pPr>
      <w:r>
        <w:rPr>
          <w:rFonts w:hint="eastAsia" w:ascii="仿宋_GB2312" w:hAnsi="仿宋_GB2312" w:eastAsia="仿宋_GB2312" w:cs="仿宋_GB2312"/>
          <w:i w:val="0"/>
          <w:iCs w:val="0"/>
          <w:caps w:val="0"/>
          <w:color w:val="000000" w:themeColor="text1"/>
          <w:spacing w:val="0"/>
          <w:sz w:val="32"/>
          <w:szCs w:val="32"/>
          <w:highlight w:val="none"/>
          <w:shd w:val="clear" w:fill="FFFFFF"/>
          <w:lang w:val="en" w:eastAsia="zh-CN"/>
          <w14:textFill>
            <w14:solidFill>
              <w14:schemeClr w14:val="tx1"/>
            </w14:solidFill>
          </w14:textFill>
        </w:rPr>
        <w:t>4.</w:t>
      </w: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如投标人报价超过财政预算的</w:t>
      </w:r>
      <w:r>
        <w:rPr>
          <w:rFonts w:hint="eastAsia" w:ascii="仿宋_GB2312" w:hAnsi="仿宋_GB2312" w:eastAsia="仿宋_GB2312" w:cs="仿宋_GB2312"/>
          <w:i w:val="0"/>
          <w:iCs w:val="0"/>
          <w:caps w:val="0"/>
          <w:color w:val="000000"/>
          <w:spacing w:val="0"/>
          <w:sz w:val="32"/>
          <w:szCs w:val="32"/>
          <w:highlight w:val="none"/>
          <w:shd w:val="clear" w:fill="FFFFFF"/>
        </w:rPr>
        <w:t>；</w:t>
      </w:r>
    </w:p>
    <w:p w14:paraId="2391FEB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i w:val="0"/>
          <w:iCs w:val="0"/>
          <w:caps w:val="0"/>
          <w:color w:val="404040"/>
          <w:spacing w:val="0"/>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lang w:val="en" w:eastAsia="zh-CN"/>
        </w:rPr>
        <w:t>5.</w:t>
      </w:r>
      <w:r>
        <w:rPr>
          <w:rFonts w:hint="eastAsia" w:ascii="仿宋_GB2312" w:hAnsi="仿宋_GB2312" w:eastAsia="仿宋_GB2312" w:cs="仿宋_GB2312"/>
          <w:i w:val="0"/>
          <w:iCs w:val="0"/>
          <w:caps w:val="0"/>
          <w:color w:val="000000"/>
          <w:spacing w:val="0"/>
          <w:sz w:val="32"/>
          <w:szCs w:val="32"/>
          <w:highlight w:val="none"/>
          <w:shd w:val="clear" w:fill="FFFFFF"/>
        </w:rPr>
        <w:t>投标报价明显高于市场价或低于成本价，且不能提供书面证明材料说明原因的；</w:t>
      </w:r>
    </w:p>
    <w:p w14:paraId="47349F6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i w:val="0"/>
          <w:iCs w:val="0"/>
          <w:caps w:val="0"/>
          <w:color w:val="404040"/>
          <w:spacing w:val="0"/>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lang w:val="en" w:eastAsia="zh-CN"/>
        </w:rPr>
        <w:t>6.</w:t>
      </w:r>
      <w:r>
        <w:rPr>
          <w:rFonts w:hint="eastAsia" w:ascii="仿宋_GB2312" w:hAnsi="仿宋_GB2312" w:eastAsia="仿宋_GB2312" w:cs="仿宋_GB2312"/>
          <w:i w:val="0"/>
          <w:iCs w:val="0"/>
          <w:caps w:val="0"/>
          <w:color w:val="000000"/>
          <w:spacing w:val="0"/>
          <w:sz w:val="32"/>
          <w:szCs w:val="32"/>
          <w:highlight w:val="none"/>
          <w:shd w:val="clear" w:fill="FFFFFF"/>
        </w:rPr>
        <w:t>投标人未按招标文件变更通知更改投标文件的；</w:t>
      </w:r>
    </w:p>
    <w:p w14:paraId="4FEBE86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i w:val="0"/>
          <w:iCs w:val="0"/>
          <w:caps w:val="0"/>
          <w:color w:val="404040"/>
          <w:spacing w:val="0"/>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lang w:val="en" w:eastAsia="zh-CN"/>
        </w:rPr>
        <w:t>7.</w:t>
      </w:r>
      <w:r>
        <w:rPr>
          <w:rFonts w:hint="eastAsia" w:ascii="仿宋_GB2312" w:hAnsi="仿宋_GB2312" w:eastAsia="仿宋_GB2312" w:cs="仿宋_GB2312"/>
          <w:i w:val="0"/>
          <w:iCs w:val="0"/>
          <w:caps w:val="0"/>
          <w:color w:val="000000"/>
          <w:spacing w:val="0"/>
          <w:sz w:val="32"/>
          <w:szCs w:val="32"/>
          <w:highlight w:val="none"/>
          <w:shd w:val="clear" w:fill="FFFFFF"/>
        </w:rPr>
        <w:t>《投标（开标）一览表》和《投标报价明细清单》填写不完整或字迹不能辨认的；</w:t>
      </w:r>
    </w:p>
    <w:p w14:paraId="3B94083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i w:val="0"/>
          <w:iCs w:val="0"/>
          <w:caps w:val="0"/>
          <w:color w:val="404040"/>
          <w:spacing w:val="0"/>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lang w:val="en" w:eastAsia="zh-CN"/>
        </w:rPr>
        <w:t>8.</w:t>
      </w:r>
      <w:r>
        <w:rPr>
          <w:rFonts w:hint="eastAsia" w:ascii="仿宋_GB2312" w:hAnsi="仿宋_GB2312" w:eastAsia="仿宋_GB2312" w:cs="仿宋_GB2312"/>
          <w:i w:val="0"/>
          <w:iCs w:val="0"/>
          <w:caps w:val="0"/>
          <w:color w:val="000000"/>
          <w:spacing w:val="0"/>
          <w:sz w:val="32"/>
          <w:szCs w:val="32"/>
          <w:highlight w:val="none"/>
          <w:shd w:val="clear" w:fill="FFFFFF"/>
        </w:rPr>
        <w:t>经评标委员会审核，投标人所投内容不符合实质性采购要求的；</w:t>
      </w:r>
    </w:p>
    <w:p w14:paraId="7DD8429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lang w:val="en" w:eastAsia="zh-CN"/>
        </w:rPr>
        <w:t>9.</w:t>
      </w:r>
      <w:r>
        <w:rPr>
          <w:rFonts w:hint="eastAsia" w:ascii="仿宋_GB2312" w:hAnsi="仿宋_GB2312" w:eastAsia="仿宋_GB2312" w:cs="仿宋_GB2312"/>
          <w:i w:val="0"/>
          <w:iCs w:val="0"/>
          <w:caps w:val="0"/>
          <w:color w:val="000000"/>
          <w:spacing w:val="0"/>
          <w:sz w:val="32"/>
          <w:szCs w:val="32"/>
          <w:highlight w:val="none"/>
          <w:shd w:val="clear" w:fill="FFFFFF"/>
        </w:rPr>
        <w:t>投标人提供虚假材料投标的；</w:t>
      </w:r>
    </w:p>
    <w:p w14:paraId="2AD8FF4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i w:val="0"/>
          <w:iCs w:val="0"/>
          <w:caps w:val="0"/>
          <w:color w:val="404040"/>
          <w:spacing w:val="0"/>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lang w:val="en" w:eastAsia="zh-CN"/>
        </w:rPr>
        <w:t>10.</w:t>
      </w:r>
      <w:r>
        <w:rPr>
          <w:rFonts w:hint="eastAsia" w:ascii="仿宋_GB2312" w:hAnsi="仿宋_GB2312" w:eastAsia="仿宋_GB2312" w:cs="仿宋_GB2312"/>
          <w:i w:val="0"/>
          <w:iCs w:val="0"/>
          <w:caps w:val="0"/>
          <w:color w:val="000000"/>
          <w:spacing w:val="0"/>
          <w:sz w:val="32"/>
          <w:szCs w:val="32"/>
          <w:highlight w:val="none"/>
          <w:shd w:val="clear" w:fill="FFFFFF"/>
        </w:rPr>
        <w:t>经评标小组审核，投标人的投标文件有类同或有串标嫌疑的；</w:t>
      </w:r>
    </w:p>
    <w:p w14:paraId="2819DF2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iCs w:val="0"/>
          <w:caps w:val="0"/>
          <w:color w:val="404040"/>
          <w:spacing w:val="0"/>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 </w:t>
      </w:r>
      <w:r>
        <w:rPr>
          <w:rFonts w:hint="eastAsia" w:ascii="仿宋_GB2312" w:hAnsi="仿宋_GB2312" w:eastAsia="仿宋_GB2312" w:cs="仿宋_GB2312"/>
          <w:i w:val="0"/>
          <w:iCs w:val="0"/>
          <w:caps w:val="0"/>
          <w:color w:val="000000"/>
          <w:spacing w:val="0"/>
          <w:sz w:val="32"/>
          <w:szCs w:val="32"/>
          <w:highlight w:val="none"/>
          <w:shd w:val="clear" w:fill="FFFFFF"/>
          <w:lang w:val="en"/>
        </w:rPr>
        <w:t>11.</w:t>
      </w:r>
      <w:r>
        <w:rPr>
          <w:rFonts w:hint="eastAsia" w:ascii="仿宋_GB2312" w:hAnsi="仿宋_GB2312" w:eastAsia="仿宋_GB2312" w:cs="仿宋_GB2312"/>
          <w:i w:val="0"/>
          <w:iCs w:val="0"/>
          <w:caps w:val="0"/>
          <w:color w:val="000000"/>
          <w:spacing w:val="0"/>
          <w:sz w:val="32"/>
          <w:szCs w:val="32"/>
          <w:highlight w:val="none"/>
          <w:shd w:val="clear" w:fill="FFFFFF"/>
        </w:rPr>
        <w:t>投标人有违法、违规行为影响本次采购公平、公正的。</w:t>
      </w:r>
    </w:p>
    <w:p w14:paraId="258BADD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3" w:firstLineChars="200"/>
        <w:jc w:val="both"/>
        <w:textAlignment w:val="auto"/>
        <w:rPr>
          <w:rFonts w:hint="eastAsia" w:ascii="楷体_GB2312" w:hAnsi="楷体_GB2312" w:eastAsia="楷体_GB2312" w:cs="楷体_GB2312"/>
          <w:b/>
          <w:bCs/>
          <w:i w:val="0"/>
          <w:iCs w:val="0"/>
          <w:caps w:val="0"/>
          <w:color w:val="404040"/>
          <w:spacing w:val="0"/>
          <w:sz w:val="32"/>
          <w:szCs w:val="32"/>
          <w:highlight w:val="none"/>
          <w:shd w:val="clear" w:fill="FFFFFF"/>
          <w:lang w:val="en-US" w:eastAsia="zh"/>
        </w:rPr>
      </w:pPr>
      <w:r>
        <w:rPr>
          <w:rFonts w:hint="eastAsia" w:ascii="楷体_GB2312" w:hAnsi="楷体_GB2312" w:eastAsia="楷体_GB2312" w:cs="楷体_GB2312"/>
          <w:b/>
          <w:bCs/>
          <w:i w:val="0"/>
          <w:iCs w:val="0"/>
          <w:caps w:val="0"/>
          <w:color w:val="404040"/>
          <w:spacing w:val="0"/>
          <w:sz w:val="32"/>
          <w:szCs w:val="32"/>
          <w:highlight w:val="none"/>
          <w:shd w:val="clear" w:fill="FFFFFF"/>
          <w:lang w:val="en-US" w:eastAsia="zh"/>
        </w:rPr>
        <w:t>（八）定标办法</w:t>
      </w:r>
    </w:p>
    <w:p w14:paraId="23C5AB7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i w:val="0"/>
          <w:iCs w:val="0"/>
          <w:caps w:val="0"/>
          <w:color w:val="404040"/>
          <w:spacing w:val="0"/>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评标委员会根据</w:t>
      </w:r>
      <w:r>
        <w:rPr>
          <w:rFonts w:hint="eastAsia" w:ascii="仿宋_GB2312" w:hAnsi="仿宋_GB2312" w:eastAsia="仿宋_GB2312" w:cs="仿宋_GB2312"/>
          <w:i w:val="0"/>
          <w:iCs w:val="0"/>
          <w:caps w:val="0"/>
          <w:color w:val="000000"/>
          <w:spacing w:val="0"/>
          <w:sz w:val="32"/>
          <w:szCs w:val="32"/>
          <w:highlight w:val="none"/>
          <w:shd w:val="clear" w:fill="FFFFFF"/>
          <w:lang w:eastAsia="zh"/>
        </w:rPr>
        <w:t>评分</w:t>
      </w:r>
      <w:r>
        <w:rPr>
          <w:rFonts w:hint="eastAsia" w:ascii="仿宋_GB2312" w:hAnsi="仿宋_GB2312" w:eastAsia="仿宋_GB2312" w:cs="仿宋_GB2312"/>
          <w:i w:val="0"/>
          <w:iCs w:val="0"/>
          <w:caps w:val="0"/>
          <w:color w:val="000000"/>
          <w:spacing w:val="0"/>
          <w:sz w:val="32"/>
          <w:szCs w:val="32"/>
          <w:highlight w:val="none"/>
          <w:shd w:val="clear" w:fill="FFFFFF"/>
        </w:rPr>
        <w:t>排出</w:t>
      </w:r>
      <w:r>
        <w:rPr>
          <w:rFonts w:hint="eastAsia" w:ascii="仿宋_GB2312" w:hAnsi="仿宋_GB2312" w:eastAsia="仿宋_GB2312" w:cs="仿宋_GB2312"/>
          <w:i w:val="0"/>
          <w:iCs w:val="0"/>
          <w:caps w:val="0"/>
          <w:color w:val="000000"/>
          <w:spacing w:val="0"/>
          <w:sz w:val="32"/>
          <w:szCs w:val="32"/>
          <w:highlight w:val="none"/>
          <w:shd w:val="clear" w:fill="FFFFFF"/>
          <w:lang w:eastAsia="zh"/>
        </w:rPr>
        <w:t>投标单位</w:t>
      </w:r>
      <w:r>
        <w:rPr>
          <w:rFonts w:hint="eastAsia" w:ascii="仿宋_GB2312" w:hAnsi="仿宋_GB2312" w:eastAsia="仿宋_GB2312" w:cs="仿宋_GB2312"/>
          <w:i w:val="0"/>
          <w:iCs w:val="0"/>
          <w:caps w:val="0"/>
          <w:color w:val="000000"/>
          <w:spacing w:val="0"/>
          <w:sz w:val="32"/>
          <w:szCs w:val="32"/>
          <w:highlight w:val="none"/>
          <w:shd w:val="clear" w:fill="FFFFFF"/>
        </w:rPr>
        <w:t>的先后顺序，排名第一</w:t>
      </w:r>
      <w:r>
        <w:rPr>
          <w:rFonts w:hint="eastAsia" w:ascii="仿宋_GB2312" w:hAnsi="仿宋_GB2312" w:eastAsia="仿宋_GB2312" w:cs="仿宋_GB2312"/>
          <w:i w:val="0"/>
          <w:iCs w:val="0"/>
          <w:caps w:val="0"/>
          <w:color w:val="000000"/>
          <w:spacing w:val="0"/>
          <w:sz w:val="32"/>
          <w:szCs w:val="32"/>
          <w:highlight w:val="none"/>
          <w:shd w:val="clear" w:fill="FFFFFF"/>
          <w:lang w:eastAsia="zh"/>
        </w:rPr>
        <w:t>的投标单位</w:t>
      </w:r>
      <w:r>
        <w:rPr>
          <w:rFonts w:hint="eastAsia" w:ascii="仿宋_GB2312" w:hAnsi="仿宋_GB2312" w:eastAsia="仿宋_GB2312" w:cs="仿宋_GB2312"/>
          <w:i w:val="0"/>
          <w:iCs w:val="0"/>
          <w:caps w:val="0"/>
          <w:color w:val="000000"/>
          <w:spacing w:val="0"/>
          <w:sz w:val="32"/>
          <w:szCs w:val="32"/>
          <w:highlight w:val="none"/>
          <w:shd w:val="clear" w:fill="FFFFFF"/>
        </w:rPr>
        <w:t>为</w:t>
      </w:r>
      <w:r>
        <w:rPr>
          <w:rFonts w:hint="eastAsia" w:ascii="仿宋_GB2312" w:hAnsi="仿宋_GB2312" w:eastAsia="仿宋_GB2312" w:cs="仿宋_GB2312"/>
          <w:i w:val="0"/>
          <w:iCs w:val="0"/>
          <w:caps w:val="0"/>
          <w:color w:val="000000"/>
          <w:spacing w:val="0"/>
          <w:sz w:val="32"/>
          <w:szCs w:val="32"/>
          <w:highlight w:val="none"/>
          <w:shd w:val="clear" w:fill="FFFFFF"/>
          <w:lang w:eastAsia="zh-CN"/>
        </w:rPr>
        <w:t>成交供应商</w:t>
      </w:r>
      <w:r>
        <w:rPr>
          <w:rFonts w:hint="eastAsia" w:ascii="仿宋_GB2312" w:hAnsi="仿宋_GB2312" w:eastAsia="仿宋_GB2312" w:cs="仿宋_GB2312"/>
          <w:i w:val="0"/>
          <w:iCs w:val="0"/>
          <w:caps w:val="0"/>
          <w:color w:val="000000"/>
          <w:spacing w:val="0"/>
          <w:sz w:val="32"/>
          <w:szCs w:val="32"/>
          <w:highlight w:val="none"/>
          <w:shd w:val="clear" w:fill="FFFFFF"/>
        </w:rPr>
        <w:t>，排名第二</w:t>
      </w:r>
      <w:r>
        <w:rPr>
          <w:rFonts w:hint="eastAsia" w:ascii="仿宋_GB2312" w:hAnsi="仿宋_GB2312" w:eastAsia="仿宋_GB2312" w:cs="仿宋_GB2312"/>
          <w:i w:val="0"/>
          <w:iCs w:val="0"/>
          <w:caps w:val="0"/>
          <w:color w:val="000000"/>
          <w:spacing w:val="0"/>
          <w:sz w:val="32"/>
          <w:szCs w:val="32"/>
          <w:highlight w:val="none"/>
          <w:shd w:val="clear" w:fill="FFFFFF"/>
          <w:lang w:eastAsia="zh"/>
        </w:rPr>
        <w:t>的投标单位</w:t>
      </w:r>
      <w:r>
        <w:rPr>
          <w:rFonts w:hint="eastAsia" w:ascii="仿宋_GB2312" w:hAnsi="仿宋_GB2312" w:eastAsia="仿宋_GB2312" w:cs="仿宋_GB2312"/>
          <w:i w:val="0"/>
          <w:iCs w:val="0"/>
          <w:caps w:val="0"/>
          <w:color w:val="000000"/>
          <w:spacing w:val="0"/>
          <w:sz w:val="32"/>
          <w:szCs w:val="32"/>
          <w:highlight w:val="none"/>
          <w:shd w:val="clear" w:fill="FFFFFF"/>
        </w:rPr>
        <w:t>为</w:t>
      </w:r>
      <w:r>
        <w:rPr>
          <w:rFonts w:hint="eastAsia" w:ascii="仿宋_GB2312" w:hAnsi="仿宋_GB2312" w:eastAsia="仿宋_GB2312" w:cs="仿宋_GB2312"/>
          <w:i w:val="0"/>
          <w:iCs w:val="0"/>
          <w:caps w:val="0"/>
          <w:color w:val="000000"/>
          <w:spacing w:val="0"/>
          <w:sz w:val="32"/>
          <w:szCs w:val="32"/>
          <w:highlight w:val="none"/>
          <w:shd w:val="clear" w:fill="FFFFFF"/>
          <w:lang w:eastAsia="zh-CN"/>
        </w:rPr>
        <w:t>成交候选人</w:t>
      </w:r>
      <w:r>
        <w:rPr>
          <w:rFonts w:hint="eastAsia" w:ascii="仿宋_GB2312" w:hAnsi="仿宋_GB2312" w:eastAsia="仿宋_GB2312" w:cs="仿宋_GB2312"/>
          <w:i w:val="0"/>
          <w:iCs w:val="0"/>
          <w:caps w:val="0"/>
          <w:color w:val="000000"/>
          <w:spacing w:val="0"/>
          <w:sz w:val="32"/>
          <w:szCs w:val="32"/>
          <w:highlight w:val="none"/>
          <w:shd w:val="clear" w:fill="FFFFFF"/>
        </w:rPr>
        <w:t>。如</w:t>
      </w:r>
      <w:r>
        <w:rPr>
          <w:rFonts w:hint="eastAsia" w:ascii="仿宋_GB2312" w:hAnsi="仿宋_GB2312" w:eastAsia="仿宋_GB2312" w:cs="仿宋_GB2312"/>
          <w:i w:val="0"/>
          <w:iCs w:val="0"/>
          <w:caps w:val="0"/>
          <w:color w:val="000000"/>
          <w:spacing w:val="0"/>
          <w:sz w:val="32"/>
          <w:szCs w:val="32"/>
          <w:highlight w:val="none"/>
          <w:shd w:val="clear" w:fill="FFFFFF"/>
          <w:lang w:eastAsia="zh-CN"/>
        </w:rPr>
        <w:t>成交供应商</w:t>
      </w:r>
      <w:r>
        <w:rPr>
          <w:rFonts w:hint="eastAsia" w:ascii="仿宋_GB2312" w:hAnsi="仿宋_GB2312" w:eastAsia="仿宋_GB2312" w:cs="仿宋_GB2312"/>
          <w:i w:val="0"/>
          <w:iCs w:val="0"/>
          <w:caps w:val="0"/>
          <w:color w:val="000000"/>
          <w:spacing w:val="0"/>
          <w:sz w:val="32"/>
          <w:szCs w:val="32"/>
          <w:highlight w:val="none"/>
          <w:shd w:val="clear" w:fill="FFFFFF"/>
        </w:rPr>
        <w:t>放弃中标；或未能在规定时间内与采购单位签订合同的；或者经质疑，采购人审查后，确因排名第一的</w:t>
      </w:r>
      <w:r>
        <w:rPr>
          <w:rFonts w:hint="eastAsia" w:ascii="仿宋_GB2312" w:hAnsi="仿宋_GB2312" w:eastAsia="仿宋_GB2312" w:cs="仿宋_GB2312"/>
          <w:i w:val="0"/>
          <w:iCs w:val="0"/>
          <w:caps w:val="0"/>
          <w:color w:val="000000"/>
          <w:spacing w:val="0"/>
          <w:sz w:val="32"/>
          <w:szCs w:val="32"/>
          <w:highlight w:val="none"/>
          <w:shd w:val="clear" w:fill="FFFFFF"/>
          <w:lang w:eastAsia="zh-CN"/>
        </w:rPr>
        <w:t>成交供应商</w:t>
      </w:r>
      <w:r>
        <w:rPr>
          <w:rFonts w:hint="eastAsia" w:ascii="仿宋_GB2312" w:hAnsi="仿宋_GB2312" w:eastAsia="仿宋_GB2312" w:cs="仿宋_GB2312"/>
          <w:i w:val="0"/>
          <w:iCs w:val="0"/>
          <w:caps w:val="0"/>
          <w:color w:val="000000"/>
          <w:spacing w:val="0"/>
          <w:sz w:val="32"/>
          <w:szCs w:val="32"/>
          <w:highlight w:val="none"/>
          <w:shd w:val="clear" w:fill="FFFFFF"/>
        </w:rPr>
        <w:t>在本次采购活动中存在违法违规行为或其他原因使质疑成立的，</w:t>
      </w:r>
      <w:r>
        <w:rPr>
          <w:rFonts w:hint="eastAsia" w:ascii="仿宋_GB2312" w:hAnsi="仿宋_GB2312" w:eastAsia="仿宋_GB2312" w:cs="仿宋_GB2312"/>
          <w:i w:val="0"/>
          <w:iCs w:val="0"/>
          <w:caps w:val="0"/>
          <w:color w:val="000000"/>
          <w:spacing w:val="0"/>
          <w:sz w:val="32"/>
          <w:szCs w:val="32"/>
          <w:highlight w:val="none"/>
          <w:shd w:val="clear" w:fill="FFFFFF"/>
          <w:lang w:eastAsia="zh"/>
        </w:rPr>
        <w:t>则</w:t>
      </w:r>
      <w:r>
        <w:rPr>
          <w:rFonts w:hint="eastAsia" w:ascii="仿宋_GB2312" w:hAnsi="仿宋_GB2312" w:eastAsia="仿宋_GB2312" w:cs="仿宋_GB2312"/>
          <w:i w:val="0"/>
          <w:iCs w:val="0"/>
          <w:caps w:val="0"/>
          <w:color w:val="000000"/>
          <w:spacing w:val="0"/>
          <w:sz w:val="32"/>
          <w:szCs w:val="32"/>
          <w:highlight w:val="none"/>
          <w:shd w:val="clear" w:fill="FFFFFF"/>
        </w:rPr>
        <w:t>排名第二</w:t>
      </w:r>
      <w:r>
        <w:rPr>
          <w:rFonts w:hint="eastAsia" w:ascii="仿宋_GB2312" w:hAnsi="仿宋_GB2312" w:eastAsia="仿宋_GB2312" w:cs="仿宋_GB2312"/>
          <w:i w:val="0"/>
          <w:iCs w:val="0"/>
          <w:caps w:val="0"/>
          <w:color w:val="000000"/>
          <w:spacing w:val="0"/>
          <w:sz w:val="32"/>
          <w:szCs w:val="32"/>
          <w:highlight w:val="none"/>
          <w:shd w:val="clear" w:fill="FFFFFF"/>
          <w:lang w:eastAsia="zh"/>
        </w:rPr>
        <w:t>的单位</w:t>
      </w:r>
      <w:r>
        <w:rPr>
          <w:rFonts w:hint="eastAsia" w:ascii="仿宋_GB2312" w:hAnsi="仿宋_GB2312" w:eastAsia="仿宋_GB2312" w:cs="仿宋_GB2312"/>
          <w:i w:val="0"/>
          <w:iCs w:val="0"/>
          <w:caps w:val="0"/>
          <w:color w:val="000000"/>
          <w:spacing w:val="0"/>
          <w:sz w:val="32"/>
          <w:szCs w:val="32"/>
          <w:highlight w:val="none"/>
          <w:shd w:val="clear" w:fill="FFFFFF"/>
        </w:rPr>
        <w:t>为</w:t>
      </w:r>
      <w:r>
        <w:rPr>
          <w:rFonts w:hint="eastAsia" w:ascii="仿宋_GB2312" w:hAnsi="仿宋_GB2312" w:eastAsia="仿宋_GB2312" w:cs="仿宋_GB2312"/>
          <w:i w:val="0"/>
          <w:iCs w:val="0"/>
          <w:caps w:val="0"/>
          <w:color w:val="000000"/>
          <w:spacing w:val="0"/>
          <w:sz w:val="32"/>
          <w:szCs w:val="32"/>
          <w:highlight w:val="none"/>
          <w:shd w:val="clear" w:fill="FFFFFF"/>
          <w:lang w:eastAsia="zh-CN"/>
        </w:rPr>
        <w:t>成交供应商</w:t>
      </w:r>
      <w:r>
        <w:rPr>
          <w:rFonts w:hint="eastAsia" w:ascii="仿宋_GB2312" w:hAnsi="仿宋_GB2312" w:eastAsia="仿宋_GB2312" w:cs="仿宋_GB2312"/>
          <w:i w:val="0"/>
          <w:iCs w:val="0"/>
          <w:caps w:val="0"/>
          <w:color w:val="000000"/>
          <w:spacing w:val="0"/>
          <w:sz w:val="32"/>
          <w:szCs w:val="32"/>
          <w:highlight w:val="none"/>
          <w:shd w:val="clear" w:fill="FFFFFF"/>
        </w:rPr>
        <w:t>；若排名第二单位也因相同原因失去中标资格的本次招标失败，</w:t>
      </w:r>
      <w:r>
        <w:rPr>
          <w:rFonts w:hint="eastAsia" w:ascii="仿宋_GB2312" w:hAnsi="仿宋_GB2312" w:eastAsia="仿宋_GB2312" w:cs="仿宋_GB2312"/>
          <w:i w:val="0"/>
          <w:iCs w:val="0"/>
          <w:caps w:val="0"/>
          <w:color w:val="000000"/>
          <w:spacing w:val="0"/>
          <w:sz w:val="32"/>
          <w:szCs w:val="32"/>
          <w:highlight w:val="none"/>
          <w:shd w:val="clear" w:fill="FFFFFF"/>
          <w:lang w:eastAsia="zh-CN"/>
        </w:rPr>
        <w:t>采购人</w:t>
      </w:r>
      <w:r>
        <w:rPr>
          <w:rFonts w:hint="eastAsia" w:ascii="仿宋_GB2312" w:hAnsi="仿宋_GB2312" w:eastAsia="仿宋_GB2312" w:cs="仿宋_GB2312"/>
          <w:i w:val="0"/>
          <w:iCs w:val="0"/>
          <w:caps w:val="0"/>
          <w:color w:val="000000"/>
          <w:spacing w:val="0"/>
          <w:sz w:val="32"/>
          <w:szCs w:val="32"/>
          <w:highlight w:val="none"/>
          <w:shd w:val="clear" w:fill="FFFFFF"/>
        </w:rPr>
        <w:t>重新组织招标。</w:t>
      </w:r>
    </w:p>
    <w:p w14:paraId="640A303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3" w:firstLineChars="200"/>
        <w:jc w:val="both"/>
        <w:textAlignment w:val="auto"/>
        <w:rPr>
          <w:rFonts w:hint="eastAsia" w:ascii="楷体_GB2312" w:hAnsi="楷体_GB2312" w:eastAsia="楷体_GB2312" w:cs="楷体_GB2312"/>
          <w:b/>
          <w:bCs/>
          <w:i w:val="0"/>
          <w:iCs w:val="0"/>
          <w:caps w:val="0"/>
          <w:color w:val="404040"/>
          <w:spacing w:val="0"/>
          <w:sz w:val="32"/>
          <w:szCs w:val="32"/>
          <w:highlight w:val="none"/>
          <w:shd w:val="clear" w:fill="FFFFFF"/>
          <w:lang w:val="en-US" w:eastAsia="zh"/>
        </w:rPr>
      </w:pPr>
      <w:r>
        <w:rPr>
          <w:rFonts w:hint="eastAsia" w:ascii="楷体_GB2312" w:hAnsi="楷体_GB2312" w:eastAsia="楷体_GB2312" w:cs="楷体_GB2312"/>
          <w:b/>
          <w:bCs/>
          <w:i w:val="0"/>
          <w:iCs w:val="0"/>
          <w:caps w:val="0"/>
          <w:color w:val="404040"/>
          <w:spacing w:val="0"/>
          <w:sz w:val="32"/>
          <w:szCs w:val="32"/>
          <w:highlight w:val="none"/>
          <w:shd w:val="clear" w:fill="FFFFFF"/>
          <w:lang w:val="en-US" w:eastAsia="zh-CN"/>
        </w:rPr>
        <w:t>（九）</w:t>
      </w:r>
      <w:r>
        <w:rPr>
          <w:rFonts w:hint="eastAsia" w:ascii="楷体_GB2312" w:hAnsi="楷体_GB2312" w:eastAsia="楷体_GB2312" w:cs="楷体_GB2312"/>
          <w:b/>
          <w:bCs/>
          <w:i w:val="0"/>
          <w:iCs w:val="0"/>
          <w:caps w:val="0"/>
          <w:color w:val="404040"/>
          <w:spacing w:val="0"/>
          <w:sz w:val="32"/>
          <w:szCs w:val="32"/>
          <w:highlight w:val="none"/>
          <w:shd w:val="clear" w:fill="FFFFFF"/>
          <w:lang w:val="en-US" w:eastAsia="zh"/>
        </w:rPr>
        <w:t>确定成交供应商</w:t>
      </w:r>
    </w:p>
    <w:p w14:paraId="4DCA52A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iCs w:val="0"/>
          <w:caps w:val="0"/>
          <w:color w:val="404040"/>
          <w:spacing w:val="0"/>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评标结束后，采购人将在庐阳教育体育信息网公示</w:t>
      </w:r>
      <w:r>
        <w:rPr>
          <w:rFonts w:hint="eastAsia" w:ascii="仿宋_GB2312" w:hAnsi="仿宋_GB2312" w:eastAsia="仿宋_GB2312" w:cs="仿宋_GB2312"/>
          <w:i w:val="0"/>
          <w:iCs w:val="0"/>
          <w:caps w:val="0"/>
          <w:color w:val="000000"/>
          <w:spacing w:val="0"/>
          <w:sz w:val="32"/>
          <w:szCs w:val="32"/>
          <w:highlight w:val="none"/>
          <w:shd w:val="clear" w:fill="FFFFFF"/>
          <w:lang w:eastAsia="zh"/>
        </w:rPr>
        <w:t>评标</w:t>
      </w:r>
      <w:r>
        <w:rPr>
          <w:rFonts w:hint="eastAsia" w:ascii="仿宋_GB2312" w:hAnsi="仿宋_GB2312" w:eastAsia="仿宋_GB2312" w:cs="仿宋_GB2312"/>
          <w:i w:val="0"/>
          <w:iCs w:val="0"/>
          <w:caps w:val="0"/>
          <w:color w:val="000000"/>
          <w:spacing w:val="0"/>
          <w:sz w:val="32"/>
          <w:szCs w:val="32"/>
          <w:highlight w:val="none"/>
          <w:shd w:val="clear" w:fill="FFFFFF"/>
        </w:rPr>
        <w:t>结果</w:t>
      </w:r>
      <w:r>
        <w:rPr>
          <w:rFonts w:hint="eastAsia" w:ascii="仿宋_GB2312" w:hAnsi="仿宋_GB2312" w:eastAsia="仿宋_GB2312" w:cs="仿宋_GB2312"/>
          <w:i w:val="0"/>
          <w:iCs w:val="0"/>
          <w:caps w:val="0"/>
          <w:color w:val="000000"/>
          <w:spacing w:val="0"/>
          <w:sz w:val="32"/>
          <w:szCs w:val="32"/>
          <w:highlight w:val="none"/>
          <w:shd w:val="clear" w:fill="FFFFFF"/>
          <w:lang w:eastAsia="zh"/>
        </w:rPr>
        <w:t>，公示期满无质疑，则评标结果生效</w:t>
      </w:r>
      <w:r>
        <w:rPr>
          <w:rFonts w:hint="eastAsia" w:ascii="仿宋_GB2312" w:hAnsi="仿宋_GB2312" w:eastAsia="仿宋_GB2312" w:cs="仿宋_GB2312"/>
          <w:i w:val="0"/>
          <w:iCs w:val="0"/>
          <w:caps w:val="0"/>
          <w:color w:val="000000"/>
          <w:spacing w:val="0"/>
          <w:sz w:val="32"/>
          <w:szCs w:val="32"/>
          <w:highlight w:val="none"/>
          <w:shd w:val="clear" w:fill="FFFFFF"/>
        </w:rPr>
        <w:t>。</w:t>
      </w:r>
    </w:p>
    <w:p w14:paraId="789574D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3" w:firstLineChars="200"/>
        <w:jc w:val="both"/>
        <w:textAlignment w:val="auto"/>
        <w:rPr>
          <w:rFonts w:hint="eastAsia" w:ascii="楷体_GB2312" w:hAnsi="楷体_GB2312" w:eastAsia="楷体_GB2312" w:cs="楷体_GB2312"/>
          <w:b/>
          <w:bCs/>
          <w:i w:val="0"/>
          <w:iCs w:val="0"/>
          <w:caps w:val="0"/>
          <w:color w:val="404040"/>
          <w:spacing w:val="0"/>
          <w:sz w:val="32"/>
          <w:szCs w:val="32"/>
          <w:highlight w:val="none"/>
          <w:shd w:val="clear" w:fill="FFFFFF"/>
          <w:lang w:val="en-US" w:eastAsia="zh"/>
        </w:rPr>
      </w:pPr>
      <w:r>
        <w:rPr>
          <w:rFonts w:hint="eastAsia" w:ascii="楷体_GB2312" w:hAnsi="楷体_GB2312" w:eastAsia="楷体_GB2312" w:cs="楷体_GB2312"/>
          <w:b/>
          <w:bCs/>
          <w:i w:val="0"/>
          <w:iCs w:val="0"/>
          <w:caps w:val="0"/>
          <w:color w:val="404040"/>
          <w:spacing w:val="0"/>
          <w:sz w:val="32"/>
          <w:szCs w:val="32"/>
          <w:highlight w:val="none"/>
          <w:shd w:val="clear" w:fill="FFFFFF"/>
          <w:lang w:val="en-US" w:eastAsia="zh"/>
        </w:rPr>
        <w:t>（</w:t>
      </w:r>
      <w:r>
        <w:rPr>
          <w:rFonts w:hint="eastAsia" w:ascii="楷体_GB2312" w:hAnsi="楷体_GB2312" w:eastAsia="楷体_GB2312" w:cs="楷体_GB2312"/>
          <w:b/>
          <w:bCs/>
          <w:i w:val="0"/>
          <w:iCs w:val="0"/>
          <w:caps w:val="0"/>
          <w:color w:val="404040"/>
          <w:spacing w:val="0"/>
          <w:sz w:val="32"/>
          <w:szCs w:val="32"/>
          <w:highlight w:val="none"/>
          <w:shd w:val="clear" w:fill="FFFFFF"/>
          <w:lang w:val="en-US" w:eastAsia="zh-CN"/>
        </w:rPr>
        <w:t>十</w:t>
      </w:r>
      <w:r>
        <w:rPr>
          <w:rFonts w:hint="eastAsia" w:ascii="楷体_GB2312" w:hAnsi="楷体_GB2312" w:eastAsia="楷体_GB2312" w:cs="楷体_GB2312"/>
          <w:b/>
          <w:bCs/>
          <w:i w:val="0"/>
          <w:iCs w:val="0"/>
          <w:caps w:val="0"/>
          <w:color w:val="404040"/>
          <w:spacing w:val="0"/>
          <w:sz w:val="32"/>
          <w:szCs w:val="32"/>
          <w:highlight w:val="none"/>
          <w:shd w:val="clear" w:fill="FFFFFF"/>
          <w:lang w:val="en-US" w:eastAsia="zh"/>
        </w:rPr>
        <w:t>）</w:t>
      </w:r>
      <w:r>
        <w:rPr>
          <w:rFonts w:hint="eastAsia" w:ascii="楷体_GB2312" w:hAnsi="楷体_GB2312" w:eastAsia="楷体_GB2312" w:cs="楷体_GB2312"/>
          <w:b/>
          <w:bCs/>
          <w:i w:val="0"/>
          <w:iCs w:val="0"/>
          <w:caps w:val="0"/>
          <w:color w:val="404040"/>
          <w:spacing w:val="0"/>
          <w:sz w:val="32"/>
          <w:szCs w:val="32"/>
          <w:highlight w:val="none"/>
          <w:shd w:val="clear" w:fill="FFFFFF"/>
          <w:lang w:val="en-US" w:eastAsia="zh-CN"/>
        </w:rPr>
        <w:t>投标人义务</w:t>
      </w:r>
    </w:p>
    <w:p w14:paraId="22C2CA08">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_GB2312" w:hAnsi="仿宋_GB2312" w:eastAsia="仿宋_GB2312" w:cs="仿宋_GB2312"/>
          <w:i w:val="0"/>
          <w:iCs w:val="0"/>
          <w:caps w:val="0"/>
          <w:color w:val="404040"/>
          <w:spacing w:val="0"/>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投标人应随时接受评标委员会的询标，解答有关问题。评标结束，所有评标资料存</w:t>
      </w:r>
      <w:r>
        <w:rPr>
          <w:rFonts w:hint="eastAsia" w:ascii="仿宋_GB2312" w:hAnsi="仿宋_GB2312" w:eastAsia="仿宋_GB2312" w:cs="仿宋_GB2312"/>
          <w:i w:val="0"/>
          <w:iCs w:val="0"/>
          <w:caps w:val="0"/>
          <w:color w:val="000000"/>
          <w:spacing w:val="0"/>
          <w:sz w:val="32"/>
          <w:szCs w:val="32"/>
          <w:highlight w:val="none"/>
          <w:shd w:val="clear" w:fill="FFFFFF"/>
          <w:lang w:eastAsia="zh"/>
        </w:rPr>
        <w:t>档</w:t>
      </w:r>
      <w:r>
        <w:rPr>
          <w:rFonts w:hint="eastAsia" w:ascii="仿宋_GB2312" w:hAnsi="仿宋_GB2312" w:eastAsia="仿宋_GB2312" w:cs="仿宋_GB2312"/>
          <w:i w:val="0"/>
          <w:iCs w:val="0"/>
          <w:caps w:val="0"/>
          <w:color w:val="000000"/>
          <w:spacing w:val="0"/>
          <w:sz w:val="32"/>
          <w:szCs w:val="32"/>
          <w:highlight w:val="none"/>
          <w:shd w:val="clear" w:fill="FFFFFF"/>
        </w:rPr>
        <w:t>备查。</w:t>
      </w:r>
    </w:p>
    <w:p w14:paraId="1FE593C5">
      <w:pPr>
        <w:keepNext w:val="0"/>
        <w:keepLines w:val="0"/>
        <w:pageBreakBefore w:val="0"/>
        <w:kinsoku/>
        <w:wordWrap/>
        <w:overflowPunct/>
        <w:topLinePunct w:val="0"/>
        <w:autoSpaceDE/>
        <w:autoSpaceDN/>
        <w:bidi w:val="0"/>
        <w:spacing w:line="520" w:lineRule="exact"/>
        <w:textAlignment w:val="auto"/>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iZGM2YzhiZjMxMzQwMGNlODBhZDdkN2JjMzJmM2YifQ=="/>
  </w:docVars>
  <w:rsids>
    <w:rsidRoot w:val="46D27072"/>
    <w:rsid w:val="0007330D"/>
    <w:rsid w:val="000B2813"/>
    <w:rsid w:val="00100794"/>
    <w:rsid w:val="005153FF"/>
    <w:rsid w:val="0086106C"/>
    <w:rsid w:val="008848E3"/>
    <w:rsid w:val="009F7FD7"/>
    <w:rsid w:val="00BF74E5"/>
    <w:rsid w:val="00F31B9B"/>
    <w:rsid w:val="011E74F8"/>
    <w:rsid w:val="017662E7"/>
    <w:rsid w:val="01803393"/>
    <w:rsid w:val="01BD003E"/>
    <w:rsid w:val="01EF1786"/>
    <w:rsid w:val="02381321"/>
    <w:rsid w:val="02624814"/>
    <w:rsid w:val="0288284E"/>
    <w:rsid w:val="02DA6474"/>
    <w:rsid w:val="030C605B"/>
    <w:rsid w:val="03143CFA"/>
    <w:rsid w:val="03223C93"/>
    <w:rsid w:val="03425ED4"/>
    <w:rsid w:val="03716FFA"/>
    <w:rsid w:val="039C6A36"/>
    <w:rsid w:val="03A56C2C"/>
    <w:rsid w:val="03AF718E"/>
    <w:rsid w:val="03F37758"/>
    <w:rsid w:val="04062FE3"/>
    <w:rsid w:val="04540D6A"/>
    <w:rsid w:val="04711D92"/>
    <w:rsid w:val="04996470"/>
    <w:rsid w:val="050D7B3C"/>
    <w:rsid w:val="056D7440"/>
    <w:rsid w:val="057A350B"/>
    <w:rsid w:val="05A53104"/>
    <w:rsid w:val="05C21A57"/>
    <w:rsid w:val="05D426A3"/>
    <w:rsid w:val="05D866FC"/>
    <w:rsid w:val="06381D08"/>
    <w:rsid w:val="063A36A1"/>
    <w:rsid w:val="064C7AAF"/>
    <w:rsid w:val="06693686"/>
    <w:rsid w:val="06F376C4"/>
    <w:rsid w:val="07025C98"/>
    <w:rsid w:val="075A07EB"/>
    <w:rsid w:val="07A46BFE"/>
    <w:rsid w:val="07E70851"/>
    <w:rsid w:val="081F53EB"/>
    <w:rsid w:val="082F5828"/>
    <w:rsid w:val="082F720A"/>
    <w:rsid w:val="08340C45"/>
    <w:rsid w:val="084041D0"/>
    <w:rsid w:val="08472EF6"/>
    <w:rsid w:val="0868025D"/>
    <w:rsid w:val="089963F4"/>
    <w:rsid w:val="08AD01D5"/>
    <w:rsid w:val="08BE2F2D"/>
    <w:rsid w:val="08BE6C7D"/>
    <w:rsid w:val="08E33F16"/>
    <w:rsid w:val="090C6F40"/>
    <w:rsid w:val="091234BA"/>
    <w:rsid w:val="09664432"/>
    <w:rsid w:val="098079AB"/>
    <w:rsid w:val="09952227"/>
    <w:rsid w:val="09F02082"/>
    <w:rsid w:val="09F4134E"/>
    <w:rsid w:val="09FB7792"/>
    <w:rsid w:val="0A0E1901"/>
    <w:rsid w:val="0A1E7165"/>
    <w:rsid w:val="0A230D3A"/>
    <w:rsid w:val="0A2319F9"/>
    <w:rsid w:val="0A503350"/>
    <w:rsid w:val="0A805ABD"/>
    <w:rsid w:val="0AC669BF"/>
    <w:rsid w:val="0AD42E8B"/>
    <w:rsid w:val="0B8B4B98"/>
    <w:rsid w:val="0BDB5A00"/>
    <w:rsid w:val="0BE304A0"/>
    <w:rsid w:val="0BF176B0"/>
    <w:rsid w:val="0C3559A1"/>
    <w:rsid w:val="0C9662EC"/>
    <w:rsid w:val="0D5F2E33"/>
    <w:rsid w:val="0D942604"/>
    <w:rsid w:val="0DAA69C2"/>
    <w:rsid w:val="0E562A9C"/>
    <w:rsid w:val="0E697846"/>
    <w:rsid w:val="0EA337D2"/>
    <w:rsid w:val="0EAA24C9"/>
    <w:rsid w:val="0ECB6CAD"/>
    <w:rsid w:val="0EE45A45"/>
    <w:rsid w:val="0EF1310A"/>
    <w:rsid w:val="0F3A26DF"/>
    <w:rsid w:val="0F663E06"/>
    <w:rsid w:val="0F680CE0"/>
    <w:rsid w:val="0F8D3EFD"/>
    <w:rsid w:val="0F9C6386"/>
    <w:rsid w:val="0FBA3CEC"/>
    <w:rsid w:val="0FC70E24"/>
    <w:rsid w:val="0FDF3EC4"/>
    <w:rsid w:val="0FE55D2E"/>
    <w:rsid w:val="0FE6730A"/>
    <w:rsid w:val="0FEF66E7"/>
    <w:rsid w:val="102834F7"/>
    <w:rsid w:val="10293109"/>
    <w:rsid w:val="10396394"/>
    <w:rsid w:val="108C7277"/>
    <w:rsid w:val="113E6A7C"/>
    <w:rsid w:val="115F6F7B"/>
    <w:rsid w:val="11702E93"/>
    <w:rsid w:val="11772567"/>
    <w:rsid w:val="11903436"/>
    <w:rsid w:val="11A3655C"/>
    <w:rsid w:val="11AF22BF"/>
    <w:rsid w:val="11C126E3"/>
    <w:rsid w:val="12112415"/>
    <w:rsid w:val="124D7A6E"/>
    <w:rsid w:val="12814205"/>
    <w:rsid w:val="13316E41"/>
    <w:rsid w:val="13324C5E"/>
    <w:rsid w:val="137C0967"/>
    <w:rsid w:val="13833451"/>
    <w:rsid w:val="13F17006"/>
    <w:rsid w:val="145B3AA2"/>
    <w:rsid w:val="14C84AF9"/>
    <w:rsid w:val="14F97E11"/>
    <w:rsid w:val="15240CE4"/>
    <w:rsid w:val="15486B6E"/>
    <w:rsid w:val="156043F8"/>
    <w:rsid w:val="157C4177"/>
    <w:rsid w:val="15D245AB"/>
    <w:rsid w:val="15E62980"/>
    <w:rsid w:val="15EE341C"/>
    <w:rsid w:val="15FD4456"/>
    <w:rsid w:val="16151525"/>
    <w:rsid w:val="1626522B"/>
    <w:rsid w:val="16405D5D"/>
    <w:rsid w:val="1662430E"/>
    <w:rsid w:val="167712C6"/>
    <w:rsid w:val="16832F87"/>
    <w:rsid w:val="16A17F25"/>
    <w:rsid w:val="16A5569C"/>
    <w:rsid w:val="16A70944"/>
    <w:rsid w:val="16C168CE"/>
    <w:rsid w:val="16D7199B"/>
    <w:rsid w:val="17304ACA"/>
    <w:rsid w:val="17725D75"/>
    <w:rsid w:val="178C1DF7"/>
    <w:rsid w:val="17964BFA"/>
    <w:rsid w:val="17AE7AFB"/>
    <w:rsid w:val="17C42CB3"/>
    <w:rsid w:val="17D046C6"/>
    <w:rsid w:val="17ED2D7D"/>
    <w:rsid w:val="17ED2D93"/>
    <w:rsid w:val="180F22FE"/>
    <w:rsid w:val="18253F9B"/>
    <w:rsid w:val="182D3B99"/>
    <w:rsid w:val="18473FAB"/>
    <w:rsid w:val="18940FA7"/>
    <w:rsid w:val="18AA4479"/>
    <w:rsid w:val="18AE0EBB"/>
    <w:rsid w:val="18B11926"/>
    <w:rsid w:val="18CF7DDC"/>
    <w:rsid w:val="192F7EE5"/>
    <w:rsid w:val="19587BDA"/>
    <w:rsid w:val="19CC6E85"/>
    <w:rsid w:val="19F67CB3"/>
    <w:rsid w:val="19FA4A97"/>
    <w:rsid w:val="1A16373D"/>
    <w:rsid w:val="1A227492"/>
    <w:rsid w:val="1A23692C"/>
    <w:rsid w:val="1A5C07E0"/>
    <w:rsid w:val="1A612E9F"/>
    <w:rsid w:val="1A7F20B9"/>
    <w:rsid w:val="1A952EBF"/>
    <w:rsid w:val="1A9B7B48"/>
    <w:rsid w:val="1B096406"/>
    <w:rsid w:val="1B126FA3"/>
    <w:rsid w:val="1B194B12"/>
    <w:rsid w:val="1B2F714F"/>
    <w:rsid w:val="1B394DE4"/>
    <w:rsid w:val="1B4E7D2D"/>
    <w:rsid w:val="1B672444"/>
    <w:rsid w:val="1BB373AD"/>
    <w:rsid w:val="1BBD4100"/>
    <w:rsid w:val="1BC75F74"/>
    <w:rsid w:val="1BC87AAD"/>
    <w:rsid w:val="1BED2385"/>
    <w:rsid w:val="1C8118AC"/>
    <w:rsid w:val="1CD66B09"/>
    <w:rsid w:val="1CF20B56"/>
    <w:rsid w:val="1CF47819"/>
    <w:rsid w:val="1CF9253A"/>
    <w:rsid w:val="1DA30424"/>
    <w:rsid w:val="1DAF1833"/>
    <w:rsid w:val="1DCB263C"/>
    <w:rsid w:val="1E3C3D63"/>
    <w:rsid w:val="1E54786E"/>
    <w:rsid w:val="1E677041"/>
    <w:rsid w:val="1E710F3E"/>
    <w:rsid w:val="1E7755A2"/>
    <w:rsid w:val="1E955901"/>
    <w:rsid w:val="1E984F8D"/>
    <w:rsid w:val="1EBA7116"/>
    <w:rsid w:val="1EFB30C7"/>
    <w:rsid w:val="1F0B6DDA"/>
    <w:rsid w:val="1F200E76"/>
    <w:rsid w:val="1F28376B"/>
    <w:rsid w:val="1F465046"/>
    <w:rsid w:val="1FDA2F1F"/>
    <w:rsid w:val="1FE30A8A"/>
    <w:rsid w:val="1FEE24BE"/>
    <w:rsid w:val="202C4DCF"/>
    <w:rsid w:val="202D56CD"/>
    <w:rsid w:val="205E72A2"/>
    <w:rsid w:val="20697E24"/>
    <w:rsid w:val="20797B29"/>
    <w:rsid w:val="20960F42"/>
    <w:rsid w:val="20C233D5"/>
    <w:rsid w:val="20D9356E"/>
    <w:rsid w:val="20DA1889"/>
    <w:rsid w:val="21444E55"/>
    <w:rsid w:val="21606EE7"/>
    <w:rsid w:val="2173024E"/>
    <w:rsid w:val="218B113E"/>
    <w:rsid w:val="21956822"/>
    <w:rsid w:val="21EC6ED6"/>
    <w:rsid w:val="22C111A8"/>
    <w:rsid w:val="22D27801"/>
    <w:rsid w:val="232F517F"/>
    <w:rsid w:val="23342C32"/>
    <w:rsid w:val="23494459"/>
    <w:rsid w:val="236E3B6B"/>
    <w:rsid w:val="23BA3B99"/>
    <w:rsid w:val="23D953B2"/>
    <w:rsid w:val="23DF4CCB"/>
    <w:rsid w:val="24197257"/>
    <w:rsid w:val="2426111A"/>
    <w:rsid w:val="243C21B4"/>
    <w:rsid w:val="24CA5995"/>
    <w:rsid w:val="24EF6F5A"/>
    <w:rsid w:val="24F54B74"/>
    <w:rsid w:val="25305D14"/>
    <w:rsid w:val="2536484C"/>
    <w:rsid w:val="25433545"/>
    <w:rsid w:val="255A0F8D"/>
    <w:rsid w:val="255F70C8"/>
    <w:rsid w:val="25630AB4"/>
    <w:rsid w:val="258532A7"/>
    <w:rsid w:val="25A40AC3"/>
    <w:rsid w:val="25F83F8B"/>
    <w:rsid w:val="26144CCB"/>
    <w:rsid w:val="26F61FDF"/>
    <w:rsid w:val="27177BFF"/>
    <w:rsid w:val="271F4931"/>
    <w:rsid w:val="275114B8"/>
    <w:rsid w:val="27D67920"/>
    <w:rsid w:val="280D35F7"/>
    <w:rsid w:val="284E41F1"/>
    <w:rsid w:val="288307FB"/>
    <w:rsid w:val="28A3618F"/>
    <w:rsid w:val="292161DE"/>
    <w:rsid w:val="294F5294"/>
    <w:rsid w:val="295803F0"/>
    <w:rsid w:val="29755ADB"/>
    <w:rsid w:val="29E24D7C"/>
    <w:rsid w:val="29FC1EBF"/>
    <w:rsid w:val="2A2B2DED"/>
    <w:rsid w:val="2A310E43"/>
    <w:rsid w:val="2A336945"/>
    <w:rsid w:val="2A3E2EFB"/>
    <w:rsid w:val="2A9D0185"/>
    <w:rsid w:val="2AC3296F"/>
    <w:rsid w:val="2B1C0839"/>
    <w:rsid w:val="2B2B4740"/>
    <w:rsid w:val="2B751BA3"/>
    <w:rsid w:val="2B777A77"/>
    <w:rsid w:val="2BA610A3"/>
    <w:rsid w:val="2BC95AF0"/>
    <w:rsid w:val="2C1B4C52"/>
    <w:rsid w:val="2C28198E"/>
    <w:rsid w:val="2C502677"/>
    <w:rsid w:val="2C642394"/>
    <w:rsid w:val="2C790DED"/>
    <w:rsid w:val="2C9D1967"/>
    <w:rsid w:val="2CAE3E2F"/>
    <w:rsid w:val="2CB72B77"/>
    <w:rsid w:val="2CC13AC9"/>
    <w:rsid w:val="2CDD6B4D"/>
    <w:rsid w:val="2CEF762D"/>
    <w:rsid w:val="2CF61D68"/>
    <w:rsid w:val="2D085909"/>
    <w:rsid w:val="2D1A24D8"/>
    <w:rsid w:val="2D4D0601"/>
    <w:rsid w:val="2D7F765C"/>
    <w:rsid w:val="2D9F4D7A"/>
    <w:rsid w:val="2DB37B6E"/>
    <w:rsid w:val="2DB42817"/>
    <w:rsid w:val="2DCB58EE"/>
    <w:rsid w:val="2DEA6F36"/>
    <w:rsid w:val="2E413EE8"/>
    <w:rsid w:val="2E523A7B"/>
    <w:rsid w:val="2E553D0F"/>
    <w:rsid w:val="2E907AA8"/>
    <w:rsid w:val="2EB92753"/>
    <w:rsid w:val="2EC636BA"/>
    <w:rsid w:val="2F091C4B"/>
    <w:rsid w:val="2F2532DB"/>
    <w:rsid w:val="2F437B90"/>
    <w:rsid w:val="2F5025BE"/>
    <w:rsid w:val="2F8C6F5F"/>
    <w:rsid w:val="2F9D0E56"/>
    <w:rsid w:val="2FD9734C"/>
    <w:rsid w:val="30273448"/>
    <w:rsid w:val="30412DF0"/>
    <w:rsid w:val="30620F76"/>
    <w:rsid w:val="307B4660"/>
    <w:rsid w:val="307F483A"/>
    <w:rsid w:val="30883E12"/>
    <w:rsid w:val="30E0750D"/>
    <w:rsid w:val="30F96BEA"/>
    <w:rsid w:val="311C4F0C"/>
    <w:rsid w:val="32431ED8"/>
    <w:rsid w:val="324C57D8"/>
    <w:rsid w:val="32635DEE"/>
    <w:rsid w:val="32D21B30"/>
    <w:rsid w:val="32E00660"/>
    <w:rsid w:val="331163AF"/>
    <w:rsid w:val="33335359"/>
    <w:rsid w:val="33456296"/>
    <w:rsid w:val="335D178B"/>
    <w:rsid w:val="33671117"/>
    <w:rsid w:val="33B731D8"/>
    <w:rsid w:val="33C45C7E"/>
    <w:rsid w:val="33D84B2A"/>
    <w:rsid w:val="33F946EA"/>
    <w:rsid w:val="341D6CDE"/>
    <w:rsid w:val="3421475E"/>
    <w:rsid w:val="34543762"/>
    <w:rsid w:val="34BB0364"/>
    <w:rsid w:val="34EC0424"/>
    <w:rsid w:val="34EC04DD"/>
    <w:rsid w:val="34FC3F73"/>
    <w:rsid w:val="350D4DFF"/>
    <w:rsid w:val="351C13E9"/>
    <w:rsid w:val="351E746A"/>
    <w:rsid w:val="35952C8E"/>
    <w:rsid w:val="359942A1"/>
    <w:rsid w:val="359D382F"/>
    <w:rsid w:val="35CB4D67"/>
    <w:rsid w:val="35FC545B"/>
    <w:rsid w:val="35FF5EF4"/>
    <w:rsid w:val="36060DC6"/>
    <w:rsid w:val="36093BB7"/>
    <w:rsid w:val="362C7494"/>
    <w:rsid w:val="36704895"/>
    <w:rsid w:val="36A323AB"/>
    <w:rsid w:val="36B36BE2"/>
    <w:rsid w:val="36B8598F"/>
    <w:rsid w:val="36C71489"/>
    <w:rsid w:val="36D00714"/>
    <w:rsid w:val="37646EEE"/>
    <w:rsid w:val="376D6196"/>
    <w:rsid w:val="376F043C"/>
    <w:rsid w:val="378D12B0"/>
    <w:rsid w:val="37A149AD"/>
    <w:rsid w:val="37AC29FF"/>
    <w:rsid w:val="37B72FFD"/>
    <w:rsid w:val="37C02214"/>
    <w:rsid w:val="38532E42"/>
    <w:rsid w:val="385B0E4C"/>
    <w:rsid w:val="38A32A25"/>
    <w:rsid w:val="38B0282A"/>
    <w:rsid w:val="38CA2492"/>
    <w:rsid w:val="38D17879"/>
    <w:rsid w:val="3902390C"/>
    <w:rsid w:val="390339DA"/>
    <w:rsid w:val="395D6E35"/>
    <w:rsid w:val="396A7C42"/>
    <w:rsid w:val="397D4D1D"/>
    <w:rsid w:val="398D0FD6"/>
    <w:rsid w:val="399D7FDD"/>
    <w:rsid w:val="39D651AE"/>
    <w:rsid w:val="39E7297E"/>
    <w:rsid w:val="3A165466"/>
    <w:rsid w:val="3A361334"/>
    <w:rsid w:val="3A3A2216"/>
    <w:rsid w:val="3A485EEE"/>
    <w:rsid w:val="3A6C4A27"/>
    <w:rsid w:val="3A7E6AB7"/>
    <w:rsid w:val="3A8B6A68"/>
    <w:rsid w:val="3AB859CF"/>
    <w:rsid w:val="3AFE01A2"/>
    <w:rsid w:val="3B382852"/>
    <w:rsid w:val="3B992A45"/>
    <w:rsid w:val="3C0A7495"/>
    <w:rsid w:val="3C230941"/>
    <w:rsid w:val="3C283CE5"/>
    <w:rsid w:val="3C8136B8"/>
    <w:rsid w:val="3CAF1D6B"/>
    <w:rsid w:val="3CDF4761"/>
    <w:rsid w:val="3CE43793"/>
    <w:rsid w:val="3CEF6341"/>
    <w:rsid w:val="3D103A9B"/>
    <w:rsid w:val="3D113B60"/>
    <w:rsid w:val="3D293B92"/>
    <w:rsid w:val="3D344334"/>
    <w:rsid w:val="3D592C76"/>
    <w:rsid w:val="3D6919AA"/>
    <w:rsid w:val="3D7846F1"/>
    <w:rsid w:val="3DBC6FE2"/>
    <w:rsid w:val="3DBD39C9"/>
    <w:rsid w:val="3DC96FDE"/>
    <w:rsid w:val="3DF35827"/>
    <w:rsid w:val="3E2656C1"/>
    <w:rsid w:val="3E420A30"/>
    <w:rsid w:val="3EA9650B"/>
    <w:rsid w:val="3EBD1F1B"/>
    <w:rsid w:val="3EBF3493"/>
    <w:rsid w:val="3EC42618"/>
    <w:rsid w:val="3EEA55D0"/>
    <w:rsid w:val="3EF662F9"/>
    <w:rsid w:val="3F277F06"/>
    <w:rsid w:val="3F76706F"/>
    <w:rsid w:val="3F77148D"/>
    <w:rsid w:val="3F803304"/>
    <w:rsid w:val="40047A37"/>
    <w:rsid w:val="401A3761"/>
    <w:rsid w:val="403D7626"/>
    <w:rsid w:val="404C23AB"/>
    <w:rsid w:val="404C7447"/>
    <w:rsid w:val="40517F54"/>
    <w:rsid w:val="40567DC3"/>
    <w:rsid w:val="40744259"/>
    <w:rsid w:val="40DA1F58"/>
    <w:rsid w:val="40E26FFE"/>
    <w:rsid w:val="4110426B"/>
    <w:rsid w:val="411B6BCF"/>
    <w:rsid w:val="41544A30"/>
    <w:rsid w:val="41A02497"/>
    <w:rsid w:val="41E87191"/>
    <w:rsid w:val="41FD1A5E"/>
    <w:rsid w:val="421667C3"/>
    <w:rsid w:val="42215845"/>
    <w:rsid w:val="423C1973"/>
    <w:rsid w:val="423C7B67"/>
    <w:rsid w:val="4258723F"/>
    <w:rsid w:val="425F4B03"/>
    <w:rsid w:val="42C231B3"/>
    <w:rsid w:val="43200B63"/>
    <w:rsid w:val="432552D1"/>
    <w:rsid w:val="437F50E2"/>
    <w:rsid w:val="439845B1"/>
    <w:rsid w:val="439C6C75"/>
    <w:rsid w:val="439E0B57"/>
    <w:rsid w:val="43B4109B"/>
    <w:rsid w:val="44023105"/>
    <w:rsid w:val="44156647"/>
    <w:rsid w:val="445F0295"/>
    <w:rsid w:val="446C2372"/>
    <w:rsid w:val="44817F6A"/>
    <w:rsid w:val="448A36C7"/>
    <w:rsid w:val="44C01FE8"/>
    <w:rsid w:val="44CA16B6"/>
    <w:rsid w:val="44EF3ABD"/>
    <w:rsid w:val="45CD56AD"/>
    <w:rsid w:val="45D528C2"/>
    <w:rsid w:val="45FE4FE9"/>
    <w:rsid w:val="463B53AB"/>
    <w:rsid w:val="463F7C12"/>
    <w:rsid w:val="4650488E"/>
    <w:rsid w:val="469321AE"/>
    <w:rsid w:val="46A653C9"/>
    <w:rsid w:val="46D22B60"/>
    <w:rsid w:val="46D27072"/>
    <w:rsid w:val="472055FD"/>
    <w:rsid w:val="47391ABE"/>
    <w:rsid w:val="473E2E19"/>
    <w:rsid w:val="474A2C3D"/>
    <w:rsid w:val="48985C1B"/>
    <w:rsid w:val="489B2B83"/>
    <w:rsid w:val="48BE6DE9"/>
    <w:rsid w:val="48ED625E"/>
    <w:rsid w:val="490C7CAE"/>
    <w:rsid w:val="49281A82"/>
    <w:rsid w:val="492B7B6E"/>
    <w:rsid w:val="494408C8"/>
    <w:rsid w:val="494B538A"/>
    <w:rsid w:val="49573084"/>
    <w:rsid w:val="49622EAD"/>
    <w:rsid w:val="4975505E"/>
    <w:rsid w:val="498A3D10"/>
    <w:rsid w:val="49DD067B"/>
    <w:rsid w:val="49E622A2"/>
    <w:rsid w:val="49F646B0"/>
    <w:rsid w:val="4A7B6DFE"/>
    <w:rsid w:val="4A7C3E3F"/>
    <w:rsid w:val="4AE56439"/>
    <w:rsid w:val="4B0612A4"/>
    <w:rsid w:val="4B147292"/>
    <w:rsid w:val="4B1A173E"/>
    <w:rsid w:val="4B3670B0"/>
    <w:rsid w:val="4B7425F5"/>
    <w:rsid w:val="4B9C0BC2"/>
    <w:rsid w:val="4BAC7DEC"/>
    <w:rsid w:val="4BE21DA8"/>
    <w:rsid w:val="4C1E1177"/>
    <w:rsid w:val="4C71676A"/>
    <w:rsid w:val="4C7C4073"/>
    <w:rsid w:val="4C7D070A"/>
    <w:rsid w:val="4CA62C38"/>
    <w:rsid w:val="4CA742D7"/>
    <w:rsid w:val="4CD61037"/>
    <w:rsid w:val="4CFB2850"/>
    <w:rsid w:val="4D4A7747"/>
    <w:rsid w:val="4D6A7EB6"/>
    <w:rsid w:val="4D93397A"/>
    <w:rsid w:val="4D9B6672"/>
    <w:rsid w:val="4DBF30DB"/>
    <w:rsid w:val="4DDF1BA1"/>
    <w:rsid w:val="4E057011"/>
    <w:rsid w:val="4E14327B"/>
    <w:rsid w:val="4E1477B7"/>
    <w:rsid w:val="4E1A5AC1"/>
    <w:rsid w:val="4E663B7E"/>
    <w:rsid w:val="4E6C1AD1"/>
    <w:rsid w:val="4E814B83"/>
    <w:rsid w:val="4E8269E4"/>
    <w:rsid w:val="4EAA5EE0"/>
    <w:rsid w:val="4EBA6203"/>
    <w:rsid w:val="4ED6419F"/>
    <w:rsid w:val="4EE31BC1"/>
    <w:rsid w:val="4F20342C"/>
    <w:rsid w:val="4F555DF1"/>
    <w:rsid w:val="4F5771F5"/>
    <w:rsid w:val="4F7C2181"/>
    <w:rsid w:val="500B0732"/>
    <w:rsid w:val="50270186"/>
    <w:rsid w:val="5044437A"/>
    <w:rsid w:val="504707D0"/>
    <w:rsid w:val="50742A1A"/>
    <w:rsid w:val="50A6629A"/>
    <w:rsid w:val="50C746E3"/>
    <w:rsid w:val="510D7628"/>
    <w:rsid w:val="51C77B42"/>
    <w:rsid w:val="520C7A84"/>
    <w:rsid w:val="52101408"/>
    <w:rsid w:val="5237440B"/>
    <w:rsid w:val="52595341"/>
    <w:rsid w:val="52636E23"/>
    <w:rsid w:val="527A7550"/>
    <w:rsid w:val="52A043EB"/>
    <w:rsid w:val="52B508B9"/>
    <w:rsid w:val="53255957"/>
    <w:rsid w:val="53764F21"/>
    <w:rsid w:val="538174B4"/>
    <w:rsid w:val="539145A6"/>
    <w:rsid w:val="53AB6FCD"/>
    <w:rsid w:val="53C91429"/>
    <w:rsid w:val="54926564"/>
    <w:rsid w:val="54C233EC"/>
    <w:rsid w:val="54CB5922"/>
    <w:rsid w:val="54CC5C7F"/>
    <w:rsid w:val="54F5303D"/>
    <w:rsid w:val="550852A2"/>
    <w:rsid w:val="550E593B"/>
    <w:rsid w:val="55266BD4"/>
    <w:rsid w:val="553A3361"/>
    <w:rsid w:val="55A80D38"/>
    <w:rsid w:val="55DF7659"/>
    <w:rsid w:val="55FC037A"/>
    <w:rsid w:val="560E7CAB"/>
    <w:rsid w:val="56120D77"/>
    <w:rsid w:val="561B6CAA"/>
    <w:rsid w:val="563A1C48"/>
    <w:rsid w:val="5665391D"/>
    <w:rsid w:val="566B41B3"/>
    <w:rsid w:val="56B42B7F"/>
    <w:rsid w:val="56D216F3"/>
    <w:rsid w:val="56D910C0"/>
    <w:rsid w:val="56F5319E"/>
    <w:rsid w:val="5713529C"/>
    <w:rsid w:val="57182F31"/>
    <w:rsid w:val="571E755A"/>
    <w:rsid w:val="5724783A"/>
    <w:rsid w:val="578B36DE"/>
    <w:rsid w:val="579540C9"/>
    <w:rsid w:val="57A53B1F"/>
    <w:rsid w:val="57C71B81"/>
    <w:rsid w:val="581C425C"/>
    <w:rsid w:val="583302A0"/>
    <w:rsid w:val="583A2E05"/>
    <w:rsid w:val="58BE6F49"/>
    <w:rsid w:val="58F165BE"/>
    <w:rsid w:val="58FC447A"/>
    <w:rsid w:val="591C3CCA"/>
    <w:rsid w:val="592440F8"/>
    <w:rsid w:val="592959D0"/>
    <w:rsid w:val="593400D7"/>
    <w:rsid w:val="596B3E0C"/>
    <w:rsid w:val="597C1A46"/>
    <w:rsid w:val="598D1AB3"/>
    <w:rsid w:val="59E75FFE"/>
    <w:rsid w:val="5A537D32"/>
    <w:rsid w:val="5A6B54B1"/>
    <w:rsid w:val="5A703A24"/>
    <w:rsid w:val="5A8478BD"/>
    <w:rsid w:val="5AD03DF9"/>
    <w:rsid w:val="5B0A4993"/>
    <w:rsid w:val="5B1802D1"/>
    <w:rsid w:val="5B1C4667"/>
    <w:rsid w:val="5B1D2C2B"/>
    <w:rsid w:val="5BBC0048"/>
    <w:rsid w:val="5BD53693"/>
    <w:rsid w:val="5BE04A70"/>
    <w:rsid w:val="5BF3043A"/>
    <w:rsid w:val="5C5678F6"/>
    <w:rsid w:val="5C95487A"/>
    <w:rsid w:val="5C9A28CA"/>
    <w:rsid w:val="5CBA4838"/>
    <w:rsid w:val="5CCD7580"/>
    <w:rsid w:val="5CCD7846"/>
    <w:rsid w:val="5D60463E"/>
    <w:rsid w:val="5DBC5C7A"/>
    <w:rsid w:val="5DC05F84"/>
    <w:rsid w:val="5DC07262"/>
    <w:rsid w:val="5E11413A"/>
    <w:rsid w:val="5E382297"/>
    <w:rsid w:val="5E601FC8"/>
    <w:rsid w:val="5E7C0C21"/>
    <w:rsid w:val="5E9924D0"/>
    <w:rsid w:val="5EB84919"/>
    <w:rsid w:val="5EDC6904"/>
    <w:rsid w:val="5EFE48C6"/>
    <w:rsid w:val="5F0A63C9"/>
    <w:rsid w:val="5F0A6E09"/>
    <w:rsid w:val="5F2C7E5D"/>
    <w:rsid w:val="5F2E478F"/>
    <w:rsid w:val="5F5C4FCF"/>
    <w:rsid w:val="5F981F8F"/>
    <w:rsid w:val="5FDC7EA9"/>
    <w:rsid w:val="5FEF0D71"/>
    <w:rsid w:val="5FF5101B"/>
    <w:rsid w:val="5FFE0A66"/>
    <w:rsid w:val="60612B40"/>
    <w:rsid w:val="608B0444"/>
    <w:rsid w:val="60BA30F3"/>
    <w:rsid w:val="60C80F47"/>
    <w:rsid w:val="612E3227"/>
    <w:rsid w:val="613A7C69"/>
    <w:rsid w:val="615D4E53"/>
    <w:rsid w:val="61736649"/>
    <w:rsid w:val="61A90095"/>
    <w:rsid w:val="61AB31EC"/>
    <w:rsid w:val="61E96266"/>
    <w:rsid w:val="61F71B8E"/>
    <w:rsid w:val="62010B19"/>
    <w:rsid w:val="625650D9"/>
    <w:rsid w:val="62586FCA"/>
    <w:rsid w:val="625D67C2"/>
    <w:rsid w:val="62720942"/>
    <w:rsid w:val="628914CC"/>
    <w:rsid w:val="629A0F78"/>
    <w:rsid w:val="62B33AA8"/>
    <w:rsid w:val="62B92578"/>
    <w:rsid w:val="62FF623E"/>
    <w:rsid w:val="63166433"/>
    <w:rsid w:val="63205D7A"/>
    <w:rsid w:val="633F0855"/>
    <w:rsid w:val="637560CD"/>
    <w:rsid w:val="639C2DB4"/>
    <w:rsid w:val="63B33ADB"/>
    <w:rsid w:val="63BB6E1C"/>
    <w:rsid w:val="6494257B"/>
    <w:rsid w:val="64984DA2"/>
    <w:rsid w:val="64BE5A46"/>
    <w:rsid w:val="64D84CDB"/>
    <w:rsid w:val="64E567C1"/>
    <w:rsid w:val="64EC4AB5"/>
    <w:rsid w:val="651817C0"/>
    <w:rsid w:val="6522018B"/>
    <w:rsid w:val="6537487E"/>
    <w:rsid w:val="653F270B"/>
    <w:rsid w:val="65952B7F"/>
    <w:rsid w:val="65D92EAC"/>
    <w:rsid w:val="65DA7FD1"/>
    <w:rsid w:val="662050D4"/>
    <w:rsid w:val="669F053E"/>
    <w:rsid w:val="66AC48FC"/>
    <w:rsid w:val="66D431C6"/>
    <w:rsid w:val="66D575CF"/>
    <w:rsid w:val="66DA7357"/>
    <w:rsid w:val="66DD085E"/>
    <w:rsid w:val="66E219D2"/>
    <w:rsid w:val="66E77BCB"/>
    <w:rsid w:val="66F95A52"/>
    <w:rsid w:val="671464E6"/>
    <w:rsid w:val="671B5F7A"/>
    <w:rsid w:val="672D20F0"/>
    <w:rsid w:val="674B7AFC"/>
    <w:rsid w:val="675F662E"/>
    <w:rsid w:val="678F245A"/>
    <w:rsid w:val="67920478"/>
    <w:rsid w:val="67A00A5E"/>
    <w:rsid w:val="67A61E02"/>
    <w:rsid w:val="67B94D03"/>
    <w:rsid w:val="68342EBC"/>
    <w:rsid w:val="6871294C"/>
    <w:rsid w:val="68B31FA7"/>
    <w:rsid w:val="69232970"/>
    <w:rsid w:val="69327453"/>
    <w:rsid w:val="693530C8"/>
    <w:rsid w:val="693E7F8E"/>
    <w:rsid w:val="6961085B"/>
    <w:rsid w:val="698077FE"/>
    <w:rsid w:val="699E3EC8"/>
    <w:rsid w:val="69C4033E"/>
    <w:rsid w:val="6A3F3A51"/>
    <w:rsid w:val="6A5211B7"/>
    <w:rsid w:val="6A5C1340"/>
    <w:rsid w:val="6A5D38FD"/>
    <w:rsid w:val="6A9647D8"/>
    <w:rsid w:val="6AB1391D"/>
    <w:rsid w:val="6B003023"/>
    <w:rsid w:val="6B100B39"/>
    <w:rsid w:val="6B7B18B2"/>
    <w:rsid w:val="6B89780D"/>
    <w:rsid w:val="6BBC33D6"/>
    <w:rsid w:val="6BF07631"/>
    <w:rsid w:val="6C3E09EE"/>
    <w:rsid w:val="6C491BF0"/>
    <w:rsid w:val="6C5850C7"/>
    <w:rsid w:val="6CE80F66"/>
    <w:rsid w:val="6D01765B"/>
    <w:rsid w:val="6D101DF5"/>
    <w:rsid w:val="6D1A6B48"/>
    <w:rsid w:val="6D474894"/>
    <w:rsid w:val="6D564741"/>
    <w:rsid w:val="6D696253"/>
    <w:rsid w:val="6E1535F9"/>
    <w:rsid w:val="6E747693"/>
    <w:rsid w:val="6E8C30D3"/>
    <w:rsid w:val="6EE8302B"/>
    <w:rsid w:val="6F4E58C7"/>
    <w:rsid w:val="6F73504B"/>
    <w:rsid w:val="6F762AD8"/>
    <w:rsid w:val="6FF93062"/>
    <w:rsid w:val="6FFD08C0"/>
    <w:rsid w:val="70244D08"/>
    <w:rsid w:val="702F00CA"/>
    <w:rsid w:val="704215D4"/>
    <w:rsid w:val="707B6963"/>
    <w:rsid w:val="708F5931"/>
    <w:rsid w:val="70A13609"/>
    <w:rsid w:val="70AC6C42"/>
    <w:rsid w:val="70C554EB"/>
    <w:rsid w:val="70CE3766"/>
    <w:rsid w:val="710B4B99"/>
    <w:rsid w:val="712130E7"/>
    <w:rsid w:val="7126302C"/>
    <w:rsid w:val="712D6A53"/>
    <w:rsid w:val="715440AF"/>
    <w:rsid w:val="716A41EC"/>
    <w:rsid w:val="7196774B"/>
    <w:rsid w:val="719952FB"/>
    <w:rsid w:val="71A71C9C"/>
    <w:rsid w:val="71D828C2"/>
    <w:rsid w:val="72810195"/>
    <w:rsid w:val="729A7BEC"/>
    <w:rsid w:val="729A7CB0"/>
    <w:rsid w:val="72AD1F92"/>
    <w:rsid w:val="72B915FF"/>
    <w:rsid w:val="72BE4ED9"/>
    <w:rsid w:val="72E01B25"/>
    <w:rsid w:val="731C32CD"/>
    <w:rsid w:val="731E34C5"/>
    <w:rsid w:val="7376661F"/>
    <w:rsid w:val="737E18B7"/>
    <w:rsid w:val="73800D7D"/>
    <w:rsid w:val="739C26D7"/>
    <w:rsid w:val="744A21FB"/>
    <w:rsid w:val="74502EA9"/>
    <w:rsid w:val="74933AD0"/>
    <w:rsid w:val="7495441E"/>
    <w:rsid w:val="74A65992"/>
    <w:rsid w:val="74D4260C"/>
    <w:rsid w:val="754F06A1"/>
    <w:rsid w:val="75540733"/>
    <w:rsid w:val="75612145"/>
    <w:rsid w:val="756633D9"/>
    <w:rsid w:val="75673134"/>
    <w:rsid w:val="756835FA"/>
    <w:rsid w:val="758370E3"/>
    <w:rsid w:val="758F7661"/>
    <w:rsid w:val="75AA7B9A"/>
    <w:rsid w:val="761A34C4"/>
    <w:rsid w:val="7627688F"/>
    <w:rsid w:val="764022B9"/>
    <w:rsid w:val="76426A73"/>
    <w:rsid w:val="76433B5A"/>
    <w:rsid w:val="7646212D"/>
    <w:rsid w:val="764C441C"/>
    <w:rsid w:val="765A05BB"/>
    <w:rsid w:val="76AC3ABD"/>
    <w:rsid w:val="76D974DB"/>
    <w:rsid w:val="76DE4F98"/>
    <w:rsid w:val="77424A96"/>
    <w:rsid w:val="776606BA"/>
    <w:rsid w:val="776A43DE"/>
    <w:rsid w:val="779A3617"/>
    <w:rsid w:val="77C75E9F"/>
    <w:rsid w:val="77DE0F00"/>
    <w:rsid w:val="7841345A"/>
    <w:rsid w:val="785A5A37"/>
    <w:rsid w:val="786C12E5"/>
    <w:rsid w:val="78704BD2"/>
    <w:rsid w:val="789518C0"/>
    <w:rsid w:val="78DE683D"/>
    <w:rsid w:val="78E202EF"/>
    <w:rsid w:val="793063BF"/>
    <w:rsid w:val="794869A4"/>
    <w:rsid w:val="79562F57"/>
    <w:rsid w:val="7980226B"/>
    <w:rsid w:val="79C40754"/>
    <w:rsid w:val="7A0D75B0"/>
    <w:rsid w:val="7A4C56E3"/>
    <w:rsid w:val="7A665F79"/>
    <w:rsid w:val="7A996B46"/>
    <w:rsid w:val="7ABD2CC5"/>
    <w:rsid w:val="7AD27F1C"/>
    <w:rsid w:val="7ADE3FFA"/>
    <w:rsid w:val="7AE46454"/>
    <w:rsid w:val="7AFD64EF"/>
    <w:rsid w:val="7B002AEC"/>
    <w:rsid w:val="7B5458F7"/>
    <w:rsid w:val="7B596A87"/>
    <w:rsid w:val="7B6F34B4"/>
    <w:rsid w:val="7C2B5F54"/>
    <w:rsid w:val="7C354ADD"/>
    <w:rsid w:val="7C4C4C6F"/>
    <w:rsid w:val="7C8E6359"/>
    <w:rsid w:val="7CB92F6B"/>
    <w:rsid w:val="7CC477AD"/>
    <w:rsid w:val="7CDB0664"/>
    <w:rsid w:val="7CE96CA1"/>
    <w:rsid w:val="7D3874D1"/>
    <w:rsid w:val="7D583E73"/>
    <w:rsid w:val="7D5F73A8"/>
    <w:rsid w:val="7D6B058D"/>
    <w:rsid w:val="7D6D6F56"/>
    <w:rsid w:val="7D865835"/>
    <w:rsid w:val="7D8D6E88"/>
    <w:rsid w:val="7D9225C3"/>
    <w:rsid w:val="7D94289F"/>
    <w:rsid w:val="7DA43261"/>
    <w:rsid w:val="7DFD5401"/>
    <w:rsid w:val="7DFE3E95"/>
    <w:rsid w:val="7E1D0F2D"/>
    <w:rsid w:val="7E3C530B"/>
    <w:rsid w:val="7E4A6B77"/>
    <w:rsid w:val="7E54762A"/>
    <w:rsid w:val="7E5F5E41"/>
    <w:rsid w:val="7E6763D3"/>
    <w:rsid w:val="7E8F1731"/>
    <w:rsid w:val="7EB61C96"/>
    <w:rsid w:val="7ED06089"/>
    <w:rsid w:val="7EE57D18"/>
    <w:rsid w:val="7EE96D7C"/>
    <w:rsid w:val="7F043E67"/>
    <w:rsid w:val="7F3C3905"/>
    <w:rsid w:val="7F4D44CB"/>
    <w:rsid w:val="7F7512B6"/>
    <w:rsid w:val="7F791BA2"/>
    <w:rsid w:val="7F7E4B3C"/>
    <w:rsid w:val="7F942D9D"/>
    <w:rsid w:val="7F9610EA"/>
    <w:rsid w:val="7FAE2923"/>
    <w:rsid w:val="7FC72BD7"/>
    <w:rsid w:val="7FDF7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80" w:lineRule="exact"/>
    </w:pPr>
    <w:rPr>
      <w:rFonts w:ascii="Times New Roman" w:hAnsi="Times New Roman"/>
      <w:kern w:val="0"/>
      <w:sz w:val="24"/>
      <w:szCs w:val="24"/>
    </w:rPr>
  </w:style>
  <w:style w:type="paragraph" w:styleId="3">
    <w:name w:val="footer"/>
    <w:basedOn w:val="1"/>
    <w:next w:val="1"/>
    <w:unhideWhenUsed/>
    <w:qFormat/>
    <w:uiPriority w:val="99"/>
    <w:pPr>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FollowedHyperlink"/>
    <w:basedOn w:val="6"/>
    <w:qFormat/>
    <w:uiPriority w:val="0"/>
    <w:rPr>
      <w:color w:val="333333"/>
      <w:u w:val="none"/>
    </w:rPr>
  </w:style>
  <w:style w:type="character" w:styleId="8">
    <w:name w:val="HTML Acronym"/>
    <w:basedOn w:val="6"/>
    <w:qFormat/>
    <w:uiPriority w:val="0"/>
  </w:style>
  <w:style w:type="character" w:styleId="9">
    <w:name w:val="Hyperlink"/>
    <w:basedOn w:val="6"/>
    <w:qFormat/>
    <w:uiPriority w:val="0"/>
    <w:rPr>
      <w:color w:val="333333"/>
      <w:u w:val="none"/>
    </w:rPr>
  </w:style>
  <w:style w:type="character" w:customStyle="1" w:styleId="10">
    <w:name w:val="sec2"/>
    <w:basedOn w:val="6"/>
    <w:qFormat/>
    <w:uiPriority w:val="0"/>
    <w:rPr>
      <w:color w:val="FFFFFF"/>
    </w:rPr>
  </w:style>
  <w:style w:type="character" w:customStyle="1" w:styleId="11">
    <w:name w:val="tit24"/>
    <w:basedOn w:val="6"/>
    <w:qFormat/>
    <w:uiPriority w:val="0"/>
    <w:rPr>
      <w:vanish/>
    </w:rPr>
  </w:style>
  <w:style w:type="character" w:customStyle="1" w:styleId="12">
    <w:name w:val="right2"/>
    <w:basedOn w:val="6"/>
    <w:qFormat/>
    <w:uiPriority w:val="0"/>
    <w:rPr>
      <w:color w:val="A1A1A1"/>
    </w:rPr>
  </w:style>
  <w:style w:type="character" w:customStyle="1" w:styleId="13">
    <w:name w:val="sec25"/>
    <w:basedOn w:val="6"/>
    <w:qFormat/>
    <w:uiPriority w:val="0"/>
    <w:rPr>
      <w:color w:val="FFFFFF"/>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2369</Words>
  <Characters>2474</Characters>
  <Lines>0</Lines>
  <Paragraphs>0</Paragraphs>
  <TotalTime>134</TotalTime>
  <ScaleCrop>false</ScaleCrop>
  <LinksUpToDate>false</LinksUpToDate>
  <CharactersWithSpaces>2480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2023-11-28T02:43:00Z</dcterms:created>
  <dc:creator>LeslieLaw</dc:creator>
  <cp:lastModifiedBy>*小晴天*</cp:lastModifiedBy>
  <cp:lastPrinted>2024-09-13T00:37:00Z</cp:lastPrinted>
  <dcterms:modified xsi:type="dcterms:W3CDTF">2024-12-27T08:45:12Z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66358D07538E4DA398EE4841C953F35E_13</vt:lpwstr>
  </property>
  <property fmtid="{D5CDD505-2E9C-101B-9397-08002B2CF9AE}" pid="4" name="KSOTemplateDocerSaveRecord">
    <vt:lpwstr>eyJoZGlkIjoiMmViZGM2YzhiZjMxMzQwMGNlODBhZDdkN2JjMzJmM2YiLCJ1c2VySWQiOiI0MTE0Mzg2MjcifQ==</vt:lpwstr>
  </property>
</Properties>
</file>