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3" w:rsidRPr="005B0097" w:rsidRDefault="00B40B23" w:rsidP="00B40B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3 </w:t>
      </w:r>
    </w:p>
    <w:p w:rsidR="00B40B23" w:rsidRPr="005B0097" w:rsidRDefault="00B40B23" w:rsidP="00B40B2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第八届全国学生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“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学宪法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 xml:space="preserve"> 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讲宪法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”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活动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 xml:space="preserve"> “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网络风采展示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”</w:t>
      </w:r>
      <w:r w:rsidRPr="005B0097">
        <w:rPr>
          <w:rFonts w:ascii="TTD024A4BEtCID" w:eastAsia="宋体" w:hAnsi="TTD024A4BEtCID" w:cs="宋体"/>
          <w:color w:val="000000"/>
          <w:kern w:val="0"/>
          <w:sz w:val="44"/>
          <w:szCs w:val="44"/>
        </w:rPr>
        <w:t>活动细则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一、时间安排及参与范围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（一）时间安排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1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.作品上传：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6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15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日至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9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12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日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2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.集中评审：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9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月中旬至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10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月中旬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3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.选手公示：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10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月中旬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4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.全国总决赛：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10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月底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（二）参与范围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“网络风采展示”活动分为小学组、初中组、高中组（含中职）、高校组（本科或专科在校学生）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4 </w:t>
      </w:r>
      <w:proofErr w:type="gramStart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组别。参赛学生应当为全日制正式学籍的在校生，所在学段以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2023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9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月以后为准。为推动活动广泛参与，参加过往届全国学生“学宪法 讲宪法”活动并获得全国总决赛个人赛或</w:t>
      </w:r>
      <w:proofErr w:type="gramStart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团队赛冠亚</w:t>
      </w:r>
      <w:proofErr w:type="gram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季军的学生，不再参加本学段的活动。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二、参与流程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（一）取得参与资格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学生通过</w:t>
      </w:r>
      <w:proofErr w:type="gramStart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普法网</w:t>
      </w:r>
      <w:proofErr w:type="gram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完成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2023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年“宪法卫士”行动计划相应年级的在线学习、练习与综合评价并获得“金牌”称号后，方可参加网络风采展示活动。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（二）上传演讲视频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学生可自行登录</w:t>
      </w:r>
      <w:proofErr w:type="gramStart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普法网学生</w:t>
      </w:r>
      <w:proofErr w:type="gram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账号，提交符合要求的优秀演讲作品参与“网络风采展示”活动。每位学生只可提交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1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份演讲作品，作品一经提交，不可修改。线上线下可同步参与。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（三）直通全国总决赛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除各省（区、市）选拔报送外，组委会将根据“网络风采展示”活动中人工智能与专家评判的综合结果，分别遴选出小学、 初中、高中（含中职）、高校（本科或专科在校学生，不含研究生）组优秀学生各</w:t>
      </w:r>
      <w:r w:rsidR="00CB2B25">
        <w:rPr>
          <w:rFonts w:ascii="TimesNewRoman" w:eastAsia="宋体" w:hAnsi="TimesNewRoman" w:cs="宋体"/>
          <w:color w:val="000000"/>
          <w:kern w:val="0"/>
          <w:sz w:val="32"/>
          <w:szCs w:val="32"/>
        </w:rPr>
        <w:t>6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人，直接参加全国总决赛演讲比赛。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三、演讲内容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（一）党的二十大关于全面依法治国的决策部署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包括：完善以宪法为核心的中国特色社会主义法律体系；扎实推进依法行政；严格公正司法；加快建设法治社会。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（二）习近平法治思想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包括：坚持党对全面依法治国的领导，坚持以人民为中心， 坚持中国特色社会主义法治道路，坚持依宪治国、依宪执政，坚持在法治轨道上推进国家治理体系和治理能力现代化，坚持建设中国特色社会主义法治体系，坚持依法治国、依法执政、依法行政共同推进，法治国家、法治政府、法治社会一体建设，坚持全面推进科学立法、严格执法、公正司法、全民守法，坚持统筹推进国内法治和涉外法治，坚持建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设德才兼备的高素质法治工作队伍，坚持抓住领导干部这个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“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关键少数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”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（三）宪法与国家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包括：中国共产党领导是中国特色社会主义</w:t>
      </w:r>
      <w:proofErr w:type="gramStart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</w:t>
      </w:r>
      <w:proofErr w:type="gram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本质的特征； 宪法的性质、地位与作用；宪法与中国式现代化；发展全过程人民民主，保障人民</w:t>
      </w:r>
      <w:proofErr w:type="gramStart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当家做主</w:t>
      </w:r>
      <w:proofErr w:type="gram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坚定文化自信自强，铸就社会主义文化新辉煌；增进民生福祉，提高人民生活品质；推动绿色发展，促进人与自然和谐共生；中国特色社会主义道路自信、理论自信、制度自信、文化自信；把权力关进制度的笼子里；国旗、国歌、国徽与首都；《香港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/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澳门特别行政区基本法》；坚持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“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一国两制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”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， 推进祖国统一；促进世界和平与发展，推动构建人类命运共同体。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（四）宪法与社会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包括：任何组织或者个人都不得有超越宪法和法律的特权；民族平等和民族团结；社会主义的公共财产神圣不可侵犯；公民的合法的私有财产不受侵犯；社会主义市场经济；环境保护；推广普通话；全面推进乡村振兴等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（五）宪法与个人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包括：公民在法律面前一律平等；公民的基本权利与义务；人格尊严；受教育的权利和义务；劳动的权利与义务；公民的文化活动自由；维护国家统一和民族团结；维护祖国安全、荣誉和利益；遵纪守法；赡养与抚养等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 xml:space="preserve">（六）相关法律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包括：民法典制定与实施的意义，民法典的基本原则与基本 要求，完善权利保护和救济，人格权，树立优良家风等；教育法、义务教育法等对未成年人受教育权的保护；未成年人保护法对未成年人的家庭保护、学校保护、社会保护、网络保护、政府保护、司法保护等；中华民族共同体意识；防范学生欺凌、网络诈骗、人身侵害等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四、作品要求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（一）演讲形式与要求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演讲过程中学生须使用普通话，采用站立（因身体原因无法站立的除外）、脱稿形式独立完成演讲，演讲时长为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4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至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6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分钟。演讲过程中不可使用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PPT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、虚拟背景或视频等多媒体素材，不可使用其他任何辅助道具或器材，不可切换演讲场景或加入特效（包括美颜、滤镜等）。活动主要从演讲内容、语言表达、整体效果等方面对学生表现进行综合评价。学生正式开始演讲前须先宣读以下内容（以下内容宣读时间不计入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4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6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分钟的演讲时长内）：我是来自</w:t>
      </w:r>
      <w:bookmarkStart w:id="0" w:name="_GoBack"/>
      <w:bookmarkEnd w:id="0"/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XXX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学校（所在学校）的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XXX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（姓名），现报名参加第八届全国学生“学宪法 讲宪法”活动网络风采展示，我的组别是小学组/初中组/高中组/高校组。我承诺，本人提交至大赛组委会的演讲视频及稿件均为原创。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（二）视频质量要求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上传视频格式须为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MP4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视频文件，视频画面的比例要求为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16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9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，大小为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10MB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—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100MB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，分辨率建议为</w:t>
      </w:r>
      <w:r w:rsidR="00CB2B25">
        <w:rPr>
          <w:rFonts w:ascii="TimesNewRoman" w:eastAsia="宋体" w:hAnsi="TimesNewRoman" w:cs="宋体"/>
          <w:color w:val="000000"/>
          <w:kern w:val="0"/>
          <w:sz w:val="32"/>
          <w:szCs w:val="32"/>
        </w:rPr>
        <w:t>720P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及以上。要求音画同步，声音清楚且画面清晰度高，无失真、噪声杂音干扰、音量忽大忽小等现象。可使用手机直接拍摄后上传，也可通过其他设备拍摄后上传。拍摄场地不限，建议为光线充足、环境安静、陈设简洁的场地。视频内不得包含任何形式的广告、与本活动无关的商业内容及其他外部链接等。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（三）演讲稿件上传 </w:t>
      </w:r>
    </w:p>
    <w:p w:rsidR="00B40B23" w:rsidRPr="005B0097" w:rsidRDefault="00B40B23" w:rsidP="00B40B23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提交视频时，请同时上传与演讲内容完全一致的演讲稿件（格式为 </w:t>
      </w:r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 xml:space="preserve">doc </w:t>
      </w:r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或 </w:t>
      </w:r>
      <w:proofErr w:type="spellStart"/>
      <w:r w:rsidRPr="005B0097">
        <w:rPr>
          <w:rFonts w:ascii="TimesNewRoman" w:eastAsia="宋体" w:hAnsi="TimesNewRoman" w:cs="宋体"/>
          <w:color w:val="000000"/>
          <w:kern w:val="0"/>
          <w:sz w:val="32"/>
          <w:szCs w:val="32"/>
        </w:rPr>
        <w:t>docx</w:t>
      </w:r>
      <w:proofErr w:type="spellEnd"/>
      <w:r w:rsidRPr="005B009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B40B23" w:rsidRPr="005B0097" w:rsidRDefault="00B40B23" w:rsidP="00B40B23"/>
    <w:p w:rsidR="0002627E" w:rsidRPr="00B40B23" w:rsidRDefault="007245C3"/>
    <w:sectPr w:rsidR="0002627E" w:rsidRPr="00B40B23" w:rsidSect="00EA577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TD024A4BEtCID">
    <w:altName w:val="Cambria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23"/>
    <w:rsid w:val="000B49AD"/>
    <w:rsid w:val="002A031D"/>
    <w:rsid w:val="002A7D30"/>
    <w:rsid w:val="004A6A4B"/>
    <w:rsid w:val="00546A0E"/>
    <w:rsid w:val="007245C3"/>
    <w:rsid w:val="008D489A"/>
    <w:rsid w:val="00A107AE"/>
    <w:rsid w:val="00A1456C"/>
    <w:rsid w:val="00B40B23"/>
    <w:rsid w:val="00CB2B25"/>
    <w:rsid w:val="00CF16AF"/>
    <w:rsid w:val="00D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317</Words>
  <Characters>1809</Characters>
  <Application>Microsoft Office Word</Application>
  <DocSecurity>0</DocSecurity>
  <Lines>15</Lines>
  <Paragraphs>4</Paragraphs>
  <ScaleCrop>false</ScaleCrop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教体局公文员</dc:creator>
  <cp:lastModifiedBy>教体局公文员</cp:lastModifiedBy>
  <cp:revision>4</cp:revision>
  <dcterms:created xsi:type="dcterms:W3CDTF">2023-08-31T11:33:00Z</dcterms:created>
  <dcterms:modified xsi:type="dcterms:W3CDTF">2023-08-31T11:43:00Z</dcterms:modified>
</cp:coreProperties>
</file>