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新宋体" w:hAnsi="新宋体" w:eastAsia="新宋体" w:cs="新宋体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sz w:val="30"/>
          <w:szCs w:val="30"/>
        </w:rPr>
        <w:t>附件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二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合肥市“教坛新星”遴选评价量表</w:t>
      </w:r>
    </w:p>
    <w:tbl>
      <w:tblPr>
        <w:tblStyle w:val="3"/>
        <w:tblW w:w="0" w:type="auto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1116"/>
        <w:gridCol w:w="3258"/>
        <w:gridCol w:w="1264"/>
        <w:gridCol w:w="1264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325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评 价 标 准</w:t>
            </w:r>
          </w:p>
        </w:tc>
        <w:tc>
          <w:tcPr>
            <w:tcW w:w="39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达到等级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325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完全达到（优）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较好达到（良）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基本达到（一般）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设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计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学科育人（5分）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突显立德树人，充分发挥教学的育人价值，关注学生的全面发展。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目标设计（3分）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以“课程标准”为依据，紧扣学科核心素养，体现单元整体教学理念。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内容规划（3分）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课堂教学环节完整，能结合教材与生活实际提炼相关教学主题，以单元教学为基础整体规划，作业设计体现针对性和开放性。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过程设计（3分）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体现师生、生生互动，结构合理，张弛有度，方法策略与目标达成关联度高。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资源整合（3分）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课程资源丰富多样，简约实用，能有效支持教学难点的突破。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技术赋能（3分）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充分利用现代信息技术手段赋能课堂，促进学生深度学习，落实减负增效。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程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施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课堂组织（10）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组织规范有序，师生和谐互动；教学准备充分，教学手段先进；教学艺术精湛，体现以生为本。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教学策略（10）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基于课程标准、学业质量标准和学生素养水平高质量实施教学。注重课堂生成，富有教学机智。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教学评价（10）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紧扣教学目标，面向全体学生，评价方式多样，评价主体多元。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效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果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学习状态（10）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学生学习兴趣浓厚，参与度高，主动挑战疑难问题，并有效解决。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目标达成（10）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学生普遍完成既定学习任务，目标达成度高。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师德演讲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内容详实，结构严谨，语言表达规范、生动，富有感染力。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教学反思与答辩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能够准确把握学科教育理念与思想，能较好阐释教学意图，并作即时性反思。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7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基本功测试</w:t>
            </w:r>
          </w:p>
          <w:p>
            <w:pPr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教学基本功扎实，在同学科教师中表现突出。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新宋体" w:hAnsi="新宋体" w:eastAsia="新宋体" w:cs="新宋体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DRkMDgyODRhYjgwODM0N2I4NjdiZmIyZWE5YWMifQ=="/>
  </w:docVars>
  <w:rsids>
    <w:rsidRoot w:val="6DDE15BE"/>
    <w:rsid w:val="6DD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方正仿宋_GBK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2022-09-29T06:26:00Z</dcterms:created>
  <dc:creator>暖乎乎</dc:creator>
  <cp:lastModifiedBy>暖乎乎</cp:lastModifiedBy>
  <dcterms:modified xsi:type="dcterms:W3CDTF">2022-09-29T06:26:59Z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FD5A81A3B17C4A56BFC00615DCD34DD3</vt:lpwstr>
  </property>
</Properties>
</file>