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新宋体" w:hAnsi="新宋体" w:eastAsia="新宋体" w:cs="新宋体"/>
          <w:sz w:val="30"/>
          <w:szCs w:val="30"/>
          <w:lang w:eastAsia="zh-CN"/>
        </w:rPr>
      </w:pPr>
      <w:r>
        <w:rPr>
          <w:rFonts w:hint="eastAsia" w:ascii="新宋体" w:hAnsi="新宋体" w:eastAsia="新宋体" w:cs="新宋体"/>
          <w:sz w:val="30"/>
          <w:szCs w:val="30"/>
        </w:rPr>
        <w:t>附件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二</w:t>
      </w:r>
    </w:p>
    <w:p>
      <w:pPr>
        <w:spacing w:line="560" w:lineRule="exact"/>
        <w:jc w:val="center"/>
        <w:rPr>
          <w:rFonts w:hint="eastAsia" w:ascii="新宋体" w:hAnsi="新宋体" w:eastAsia="新宋体" w:cs="新宋体"/>
          <w:b/>
          <w:bCs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 xml:space="preserve">       </w:t>
      </w:r>
      <w:r>
        <w:rPr>
          <w:rFonts w:hint="eastAsia" w:ascii="新宋体" w:hAnsi="新宋体" w:eastAsia="新宋体" w:cs="新宋体"/>
          <w:b/>
          <w:bCs/>
          <w:sz w:val="30"/>
          <w:szCs w:val="30"/>
        </w:rPr>
        <w:t>合肥市“教坛新星”遴选评价量表</w:t>
      </w:r>
    </w:p>
    <w:tbl>
      <w:tblPr>
        <w:tblStyle w:val="3"/>
        <w:tblW w:w="0" w:type="auto"/>
        <w:tblInd w:w="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426"/>
        <w:gridCol w:w="1116"/>
        <w:gridCol w:w="3258"/>
        <w:gridCol w:w="1264"/>
        <w:gridCol w:w="1264"/>
        <w:gridCol w:w="1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6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325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评 价 标 准</w:t>
            </w:r>
          </w:p>
        </w:tc>
        <w:tc>
          <w:tcPr>
            <w:tcW w:w="395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达到等级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一级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二级</w:t>
            </w:r>
          </w:p>
        </w:tc>
        <w:tc>
          <w:tcPr>
            <w:tcW w:w="325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完全达到（优）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较好达到（良）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基本达到（一般）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5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设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学科育人（5分）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突显立德树人，充分发挥教学的育人价值，关注学生的全面发展。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目标设计（3分）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以“课程标准”为依据，紧扣学科核心素养，体现单元整体教学理念。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85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内容规划（3分）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课堂教学环节完整，能结合教材与生活实际提炼相关教学主题，以单元教学为基础整体规划，作业设计体现针对性和开放性。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过程设计（3分）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体现师生、生生互动，结构合理，张弛有度，方法策略与目标达成关联度高。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资源整合（3分）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课程资源丰富多样，简约实用，能有效支持教学难点的突破。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技术赋能（3分）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充分利用现代信息技术手段赋能课堂，促进学生深度学习，落实减负增效。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过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程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（50分）</w:t>
            </w: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实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施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课堂组织（10）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组织规范有序，师生和谐互动；教学准备充分，教学手段先进；教学艺术精湛，体现以生为本。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教学策略（10）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基于课程标准、学业质量标准和学生素养水平高质量实施教学。注重课堂生成，富有教学机智。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教学评价（10）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紧扣教学目标，面向全体学生，评价方式多样，评价主体多元。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效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果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学习状态（10）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学生学习兴趣浓厚，参与度高，主动挑战疑难问题，并有效解决。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目标达成（10）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学生普遍完成既定学习任务，目标达成度高。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6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师德演讲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内容详实，结构严谨，语言表达规范、生动，富有感染力。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96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教学反思与答辩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能够准确把握学科教育理念与思想，能较好阐释教学意图，并作即时性反思。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67" w:type="dxa"/>
            <w:gridSpan w:val="3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基本功测试</w:t>
            </w:r>
          </w:p>
          <w:p>
            <w:pPr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教学基本功扎实，在同学科教师中表现突出。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 w:ascii="新宋体" w:hAnsi="新宋体" w:eastAsia="新宋体" w:cs="新宋体"/>
          <w:sz w:val="30"/>
          <w:szCs w:val="3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ODRkMDgyODRhYjgwODM0N2I4NjdiZmIyZWE5YWMifQ=="/>
  </w:docVars>
  <w:rsids>
    <w:rsidRoot w:val="6DDE15BE"/>
    <w:rsid w:val="6DD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方正仿宋_GBK" w:cs="Times New Roman"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2022-09-29T06:26:00Z</dcterms:created>
  <dc:creator>暖乎乎</dc:creator>
  <cp:lastModifiedBy>暖乎乎</cp:lastModifiedBy>
  <dcterms:modified xsi:type="dcterms:W3CDTF">2022-09-29T06:26:59Z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FD5A81A3B17C4A56BFC00615DCD34DD3</vt:lpwstr>
  </property>
</Properties>
</file>