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rFonts w:hint="eastAsia"/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安徽省危险化学品分布信息系统</w:t>
      </w:r>
    </w:p>
    <w:p>
      <w:pPr>
        <w:jc w:val="center"/>
        <w:rPr>
          <w:rFonts w:hint="eastAsia" w:eastAsiaTheme="minorEastAsia"/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操作手册</w:t>
      </w: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rFonts w:ascii="黑体" w:hAnsi="宋体" w:eastAsia="黑体"/>
          <w:b/>
          <w:bCs/>
          <w:sz w:val="28"/>
        </w:rPr>
      </w:pPr>
      <w:r>
        <w:rPr>
          <w:rFonts w:hint="eastAsia" w:ascii="黑体" w:hAnsi="宋体" w:eastAsia="黑体"/>
          <w:b/>
          <w:bCs/>
          <w:sz w:val="28"/>
        </w:rPr>
        <w:t>化学品登记</w:t>
      </w:r>
      <w:r>
        <w:rPr>
          <w:rFonts w:ascii="黑体" w:hAnsi="宋体" w:eastAsia="黑体"/>
          <w:b/>
          <w:bCs/>
          <w:sz w:val="28"/>
        </w:rPr>
        <w:t>中心</w:t>
      </w:r>
    </w:p>
    <w:p>
      <w:pPr>
        <w:jc w:val="center"/>
        <w:rPr>
          <w:rFonts w:ascii="黑体" w:hAnsi="宋体" w:eastAsia="黑体"/>
          <w:b/>
          <w:bCs/>
          <w:sz w:val="28"/>
        </w:rPr>
      </w:pPr>
    </w:p>
    <w:p>
      <w:pPr>
        <w:jc w:val="center"/>
        <w:rPr>
          <w:rFonts w:hint="eastAsia" w:ascii="黑体" w:hAnsi="宋体" w:eastAsia="黑体"/>
          <w:b/>
          <w:sz w:val="28"/>
          <w:lang w:eastAsia="zh-CN"/>
        </w:rPr>
      </w:pPr>
      <w:r>
        <w:rPr>
          <w:rFonts w:hint="eastAsia" w:ascii="黑体" w:hAnsi="宋体" w:eastAsia="黑体"/>
          <w:b/>
          <w:sz w:val="28"/>
          <w:lang w:eastAsia="zh-CN"/>
        </w:rPr>
        <w:t>安徽</w:t>
      </w:r>
    </w:p>
    <w:p>
      <w:pPr>
        <w:jc w:val="center"/>
        <w:rPr>
          <w:rFonts w:hint="eastAsia" w:ascii="黑体" w:hAnsi="宋体" w:eastAsia="黑体"/>
          <w:b/>
          <w:sz w:val="28"/>
        </w:rPr>
      </w:pPr>
      <w:r>
        <w:rPr>
          <w:rFonts w:hint="eastAsia" w:eastAsia="仿宋_GB2312"/>
          <w:b/>
          <w:sz w:val="28"/>
        </w:rPr>
        <w:t>201</w:t>
      </w:r>
      <w:r>
        <w:rPr>
          <w:rFonts w:hint="eastAsia" w:eastAsia="仿宋_GB2312"/>
          <w:b/>
          <w:sz w:val="28"/>
          <w:lang w:val="en-US" w:eastAsia="zh-CN"/>
        </w:rPr>
        <w:t>9</w:t>
      </w:r>
      <w:r>
        <w:rPr>
          <w:rFonts w:hint="eastAsia" w:ascii="黑体" w:hAnsi="宋体" w:eastAsia="黑体"/>
          <w:b/>
          <w:sz w:val="28"/>
        </w:rPr>
        <w:t>年</w:t>
      </w:r>
      <w:r>
        <w:rPr>
          <w:rFonts w:hint="eastAsia" w:ascii="黑体" w:hAnsi="宋体" w:eastAsia="黑体"/>
          <w:b/>
          <w:sz w:val="28"/>
          <w:lang w:val="en-US" w:eastAsia="zh-CN"/>
        </w:rPr>
        <w:t>1</w:t>
      </w:r>
      <w:r>
        <w:rPr>
          <w:rFonts w:hint="eastAsia" w:ascii="黑体" w:hAnsi="宋体" w:eastAsia="黑体"/>
          <w:b/>
          <w:sz w:val="28"/>
        </w:rPr>
        <w:t>月</w:t>
      </w:r>
    </w:p>
    <w:p>
      <w:pPr>
        <w:jc w:val="center"/>
        <w:rPr>
          <w:rFonts w:hint="eastAsia" w:ascii="黑体" w:hAnsi="宋体" w:eastAsia="黑体"/>
          <w:b/>
          <w:sz w:val="28"/>
        </w:rPr>
      </w:pPr>
      <w:r>
        <w:rPr>
          <w:rFonts w:hint="eastAsia" w:ascii="黑体" w:hAnsi="宋体" w:eastAsia="黑体"/>
          <w:b/>
          <w:sz w:val="28"/>
        </w:rPr>
        <w:br w:type="page"/>
      </w:r>
    </w:p>
    <w:p>
      <w:pPr>
        <w:jc w:val="center"/>
        <w:rPr>
          <w:rFonts w:hint="eastAsia" w:ascii="黑体" w:hAnsi="宋体" w:eastAsia="黑体"/>
          <w:b/>
          <w:sz w:val="28"/>
        </w:rPr>
      </w:pPr>
      <w:bookmarkStart w:id="25" w:name="_GoBack"/>
      <w:bookmarkEnd w:id="25"/>
    </w:p>
    <w:sdt>
      <w:sdtPr>
        <w:rPr>
          <w:b/>
          <w:bCs/>
          <w:sz w:val="48"/>
          <w:szCs w:val="48"/>
          <w:lang w:val="zh-CN"/>
        </w:rPr>
        <w:id w:val="-1661687319"/>
      </w:sdtPr>
      <w:sdtEndPr>
        <w:rPr>
          <w:rFonts w:ascii="微软雅黑" w:hAnsi="微软雅黑" w:eastAsia="微软雅黑"/>
          <w:b w:val="0"/>
          <w:bCs w:val="0"/>
          <w:sz w:val="28"/>
          <w:szCs w:val="28"/>
          <w:lang w:val="zh-CN"/>
        </w:rPr>
      </w:sdtEndPr>
      <w:sdtContent>
        <w:p>
          <w:pPr>
            <w:spacing w:line="360" w:lineRule="auto"/>
            <w:jc w:val="center"/>
            <w:rPr>
              <w:rFonts w:ascii="微软雅黑" w:hAnsi="微软雅黑" w:eastAsia="微软雅黑"/>
              <w:sz w:val="48"/>
              <w:szCs w:val="48"/>
            </w:rPr>
          </w:pPr>
          <w:r>
            <w:rPr>
              <w:rFonts w:ascii="黑体" w:hAnsi="黑体" w:eastAsia="黑体"/>
              <w:sz w:val="48"/>
              <w:szCs w:val="48"/>
            </w:rPr>
            <w:t>目</w:t>
          </w:r>
          <w:r>
            <w:rPr>
              <w:rFonts w:hint="eastAsia" w:ascii="黑体" w:hAnsi="黑体" w:eastAsia="黑体"/>
              <w:sz w:val="48"/>
              <w:szCs w:val="48"/>
              <w:lang w:val="en-US" w:eastAsia="zh-CN"/>
            </w:rPr>
            <w:t xml:space="preserve">  </w:t>
          </w:r>
          <w:r>
            <w:rPr>
              <w:rFonts w:ascii="黑体" w:hAnsi="黑体" w:eastAsia="黑体"/>
              <w:sz w:val="48"/>
              <w:szCs w:val="48"/>
            </w:rPr>
            <w:t>录</w:t>
          </w:r>
        </w:p>
        <w:p>
          <w:pPr>
            <w:pStyle w:val="11"/>
            <w:tabs>
              <w:tab w:val="right" w:leader="dot" w:pos="8306"/>
              <w:tab w:val="clear" w:pos="365"/>
              <w:tab w:val="clear" w:pos="8296"/>
            </w:tabs>
            <w:rPr>
              <w:sz w:val="30"/>
              <w:szCs w:val="30"/>
            </w:rPr>
          </w:pPr>
          <w:r>
            <w:rPr>
              <w:rFonts w:ascii="微软雅黑" w:hAnsi="微软雅黑" w:eastAsia="微软雅黑"/>
              <w:b/>
              <w:bCs/>
              <w:color w:val="376092" w:themeColor="accent1" w:themeShade="BF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TOC \o "1-3" \h \z \u </w:instrText>
          </w:r>
          <w:r>
            <w:rPr>
              <w:rFonts w:ascii="微软雅黑" w:hAnsi="微软雅黑" w:eastAsia="微软雅黑"/>
              <w:b/>
              <w:bCs/>
              <w:color w:val="376092" w:themeColor="accent1" w:themeShade="BF"/>
              <w:sz w:val="28"/>
              <w:szCs w:val="28"/>
            </w:rPr>
            <w:fldChar w:fldCharType="separate"/>
          </w:r>
          <w:r>
            <w:rPr>
              <w:rFonts w:ascii="微软雅黑" w:hAnsi="微软雅黑" w:eastAsia="微软雅黑"/>
              <w:bCs/>
              <w:color w:val="376092" w:themeColor="accent1" w:themeShade="BF"/>
              <w:sz w:val="30"/>
              <w:szCs w:val="30"/>
            </w:rPr>
            <w:fldChar w:fldCharType="begin"/>
          </w:r>
          <w:r>
            <w:rPr>
              <w:rFonts w:ascii="微软雅黑" w:hAnsi="微软雅黑" w:eastAsia="微软雅黑"/>
              <w:bCs/>
              <w:color w:val="0000BF" w:themeColor="hyperlink" w:themeShade="BF"/>
              <w:sz w:val="30"/>
              <w:szCs w:val="30"/>
            </w:rPr>
            <w:instrText xml:space="preserve"> HYPERLINK \l _Toc19799 </w:instrText>
          </w:r>
          <w:r>
            <w:rPr>
              <w:rFonts w:ascii="微软雅黑" w:hAnsi="微软雅黑" w:eastAsia="微软雅黑"/>
              <w:bCs/>
              <w:color w:val="0000BF" w:themeColor="hyperlink" w:themeShade="BF"/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</w:rPr>
            <w:t>1 注册登录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_Toc19799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rFonts w:ascii="微软雅黑" w:hAnsi="微软雅黑" w:eastAsia="微软雅黑"/>
              <w:bCs/>
              <w:color w:val="376092" w:themeColor="accent1" w:themeShade="BF"/>
              <w:sz w:val="30"/>
              <w:szCs w:val="30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365"/>
              <w:tab w:val="clear" w:pos="8296"/>
            </w:tabs>
            <w:rPr>
              <w:sz w:val="30"/>
              <w:szCs w:val="30"/>
            </w:rPr>
          </w:pPr>
          <w:r>
            <w:rPr>
              <w:rFonts w:ascii="微软雅黑" w:hAnsi="微软雅黑" w:eastAsia="微软雅黑" w:cs="Times New Roman"/>
              <w:sz w:val="30"/>
              <w:szCs w:val="30"/>
            </w:rPr>
            <w:fldChar w:fldCharType="begin"/>
          </w:r>
          <w:r>
            <w:rPr>
              <w:rFonts w:ascii="微软雅黑" w:hAnsi="微软雅黑" w:eastAsia="微软雅黑" w:cs="Times New Roman"/>
              <w:sz w:val="30"/>
              <w:szCs w:val="30"/>
            </w:rPr>
            <w:instrText xml:space="preserve"> HYPERLINK \l _Toc7077 </w:instrText>
          </w:r>
          <w:r>
            <w:rPr>
              <w:rFonts w:ascii="微软雅黑" w:hAnsi="微软雅黑" w:eastAsia="微软雅黑" w:cs="Times New Roman"/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</w:rPr>
            <w:t>2 管理用户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_Toc7077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4</w:t>
          </w:r>
          <w:r>
            <w:rPr>
              <w:sz w:val="30"/>
              <w:szCs w:val="30"/>
            </w:rPr>
            <w:fldChar w:fldCharType="end"/>
          </w:r>
          <w:r>
            <w:rPr>
              <w:rFonts w:ascii="微软雅黑" w:hAnsi="微软雅黑" w:eastAsia="微软雅黑" w:cs="Times New Roman"/>
              <w:sz w:val="30"/>
              <w:szCs w:val="30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_Toc14777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>2.1 基本信息</w:t>
          </w:r>
          <w:r>
            <w:tab/>
          </w:r>
          <w:r>
            <w:fldChar w:fldCharType="begin"/>
          </w:r>
          <w:r>
            <w:instrText xml:space="preserve"> PAGEREF _Toc14777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_Toc19506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 xml:space="preserve">2.2 </w:t>
          </w:r>
          <w:r>
            <w:t>安全风险</w:t>
          </w:r>
          <w:r>
            <w:rPr>
              <w:rFonts w:hint="eastAsia"/>
            </w:rPr>
            <w:t>（点）</w:t>
          </w:r>
          <w:r>
            <w:tab/>
          </w:r>
          <w:r>
            <w:fldChar w:fldCharType="begin"/>
          </w:r>
          <w:r>
            <w:instrText xml:space="preserve"> PAGEREF _Toc19506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_Toc30616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 xml:space="preserve">2.3 </w:t>
          </w:r>
          <w:r>
            <w:t>重大危险源</w:t>
          </w:r>
          <w:r>
            <w:tab/>
          </w:r>
          <w:r>
            <w:fldChar w:fldCharType="begin"/>
          </w:r>
          <w:r>
            <w:instrText xml:space="preserve"> PAGEREF _Toc30616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_Toc4647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>2.4 统计分析</w:t>
          </w:r>
          <w:r>
            <w:tab/>
          </w:r>
          <w:r>
            <w:fldChar w:fldCharType="begin"/>
          </w:r>
          <w:r>
            <w:instrText xml:space="preserve"> PAGEREF _Toc4647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_Toc23718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 xml:space="preserve">2.5 </w:t>
          </w:r>
          <w:r>
            <w:t>管理员审核</w:t>
          </w:r>
          <w:r>
            <w:tab/>
          </w:r>
          <w:r>
            <w:fldChar w:fldCharType="begin"/>
          </w:r>
          <w:r>
            <w:instrText xml:space="preserve"> PAGEREF _Toc23718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_Toc7509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>2.6 分布地图</w:t>
          </w:r>
          <w:r>
            <w:tab/>
          </w:r>
          <w:r>
            <w:fldChar w:fldCharType="begin"/>
          </w:r>
          <w:r>
            <w:instrText xml:space="preserve"> PAGEREF _Toc7509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_Toc28341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>2.7 密码重置</w:t>
          </w:r>
          <w:r>
            <w:tab/>
          </w:r>
          <w:r>
            <w:fldChar w:fldCharType="begin"/>
          </w:r>
          <w:r>
            <w:instrText xml:space="preserve"> PAGEREF _Toc28341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  <w:tab w:val="clear" w:pos="365"/>
              <w:tab w:val="clear" w:pos="8296"/>
            </w:tabs>
            <w:jc w:val="left"/>
            <w:rPr>
              <w:sz w:val="30"/>
              <w:szCs w:val="30"/>
            </w:rPr>
          </w:pPr>
          <w:r>
            <w:rPr>
              <w:rFonts w:ascii="微软雅黑" w:hAnsi="微软雅黑" w:eastAsia="微软雅黑" w:cs="Times New Roman"/>
              <w:sz w:val="30"/>
              <w:szCs w:val="30"/>
            </w:rPr>
            <w:fldChar w:fldCharType="begin"/>
          </w:r>
          <w:r>
            <w:rPr>
              <w:rFonts w:ascii="微软雅黑" w:hAnsi="微软雅黑" w:eastAsia="微软雅黑" w:cs="Times New Roman"/>
              <w:sz w:val="30"/>
              <w:szCs w:val="30"/>
            </w:rPr>
            <w:instrText xml:space="preserve"> HYPERLINK \l _Toc9347 </w:instrText>
          </w:r>
          <w:r>
            <w:rPr>
              <w:rFonts w:ascii="微软雅黑" w:hAnsi="微软雅黑" w:eastAsia="微软雅黑" w:cs="Times New Roman"/>
              <w:sz w:val="30"/>
              <w:szCs w:val="30"/>
            </w:rPr>
            <w:fldChar w:fldCharType="separate"/>
          </w:r>
          <w:r>
            <w:rPr>
              <w:rFonts w:hint="eastAsia"/>
              <w:sz w:val="30"/>
              <w:szCs w:val="30"/>
            </w:rPr>
            <w:t xml:space="preserve">3 </w:t>
          </w:r>
          <w:r>
            <w:rPr>
              <w:sz w:val="30"/>
              <w:szCs w:val="30"/>
            </w:rPr>
            <w:t>企业用户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_Toc9347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9</w:t>
          </w:r>
          <w:r>
            <w:rPr>
              <w:sz w:val="30"/>
              <w:szCs w:val="30"/>
            </w:rPr>
            <w:fldChar w:fldCharType="end"/>
          </w:r>
          <w:r>
            <w:rPr>
              <w:rFonts w:ascii="微软雅黑" w:hAnsi="微软雅黑" w:eastAsia="微软雅黑" w:cs="Times New Roman"/>
              <w:sz w:val="30"/>
              <w:szCs w:val="30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_Toc6334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>3.1 单位信息登记</w:t>
          </w:r>
          <w:r>
            <w:tab/>
          </w:r>
          <w:r>
            <w:fldChar w:fldCharType="begin"/>
          </w:r>
          <w:r>
            <w:instrText xml:space="preserve"> PAGEREF _Toc6334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_Toc202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>3.2 重大危险源登记</w:t>
          </w:r>
          <w:r>
            <w:tab/>
          </w:r>
          <w:r>
            <w:fldChar w:fldCharType="begin"/>
          </w:r>
          <w:r>
            <w:instrText xml:space="preserve"> PAGEREF _Toc202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  <w:tab w:val="clear" w:pos="8296"/>
            </w:tabs>
          </w:pPr>
          <w:r>
            <w:rPr>
              <w:rFonts w:ascii="微软雅黑" w:hAnsi="微软雅黑" w:eastAsia="微软雅黑" w:cs="Times New Roman"/>
              <w:szCs w:val="28"/>
            </w:rPr>
            <w:fldChar w:fldCharType="begin"/>
          </w:r>
          <w:r>
            <w:rPr>
              <w:rFonts w:ascii="微软雅黑" w:hAnsi="微软雅黑" w:eastAsia="微软雅黑" w:cs="Times New Roman"/>
              <w:szCs w:val="28"/>
            </w:rPr>
            <w:instrText xml:space="preserve"> HYPERLINK \l _Toc10586 </w:instrText>
          </w:r>
          <w:r>
            <w:rPr>
              <w:rFonts w:ascii="微软雅黑" w:hAnsi="微软雅黑" w:eastAsia="微软雅黑" w:cs="Times New Roman"/>
              <w:szCs w:val="28"/>
            </w:rPr>
            <w:fldChar w:fldCharType="separate"/>
          </w:r>
          <w:r>
            <w:rPr>
              <w:rFonts w:hint="eastAsia"/>
            </w:rPr>
            <w:t>3.3 修改密码</w:t>
          </w:r>
          <w:r>
            <w:tab/>
          </w:r>
          <w:r>
            <w:fldChar w:fldCharType="begin"/>
          </w:r>
          <w:r>
            <w:instrText xml:space="preserve"> PAGEREF _Toc10586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  <w:p>
          <w:pPr>
            <w:spacing w:line="360" w:lineRule="auto"/>
            <w:jc w:val="left"/>
            <w:rPr>
              <w:rFonts w:ascii="微软雅黑" w:hAnsi="微软雅黑" w:eastAsia="微软雅黑"/>
              <w:sz w:val="28"/>
              <w:szCs w:val="28"/>
            </w:rPr>
          </w:pPr>
          <w:r>
            <w:rPr>
              <w:rFonts w:ascii="微软雅黑" w:hAnsi="微软雅黑" w:eastAsia="微软雅黑" w:cs="Times New Roman"/>
              <w:szCs w:val="28"/>
            </w:rPr>
            <w:fldChar w:fldCharType="end"/>
          </w:r>
        </w:p>
      </w:sdtContent>
    </w:sdt>
    <w:p>
      <w:pPr>
        <w:jc w:val="left"/>
      </w:pPr>
      <w:bookmarkStart w:id="0" w:name="_Toc421437865"/>
      <w:bookmarkStart w:id="1" w:name="_Toc421437809"/>
      <w:bookmarkStart w:id="2" w:name="_Toc421437746"/>
      <w:bookmarkStart w:id="3" w:name="_Toc421437997"/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pStyle w:val="2"/>
        <w:rPr>
          <w:rFonts w:hint="eastAsia"/>
        </w:rPr>
      </w:pPr>
      <w:bookmarkStart w:id="4" w:name="_Toc19799"/>
      <w:r>
        <w:rPr>
          <w:rFonts w:hint="eastAsia"/>
        </w:rPr>
        <w:t>注册登录</w:t>
      </w:r>
      <w:bookmarkEnd w:id="4"/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t>打开浏览器</w:t>
      </w:r>
      <w:r>
        <w:rPr>
          <w:rFonts w:hint="eastAsia" w:cs="Times New Roman" w:asciiTheme="minorEastAsia" w:hAnsiTheme="minorEastAsia"/>
          <w:sz w:val="24"/>
          <w:szCs w:val="24"/>
        </w:rPr>
        <w:t>（建议使用9.0以上版本的IE浏览器或谷歌浏览器），</w:t>
      </w:r>
      <w:r>
        <w:rPr>
          <w:rFonts w:cs="Times New Roman" w:asciiTheme="minorEastAsia" w:hAnsiTheme="minorEastAsia"/>
          <w:sz w:val="24"/>
          <w:szCs w:val="24"/>
        </w:rPr>
        <w:t>在浏览器地址栏中</w:t>
      </w:r>
      <w:r>
        <w:rPr>
          <w:rFonts w:hint="eastAsia" w:cs="Times New Roman" w:asciiTheme="minorEastAsia" w:hAnsiTheme="minorEastAsia"/>
          <w:sz w:val="24"/>
          <w:szCs w:val="24"/>
        </w:rPr>
        <w:t>，</w:t>
      </w:r>
      <w:r>
        <w:rPr>
          <w:rFonts w:cs="Times New Roman" w:asciiTheme="minorEastAsia" w:hAnsiTheme="minorEastAsia"/>
          <w:sz w:val="24"/>
          <w:szCs w:val="24"/>
        </w:rPr>
        <w:t>输入系统的网址</w:t>
      </w:r>
      <w:r>
        <w:rPr>
          <w:rFonts w:hint="eastAsia" w:cs="Times New Roman" w:asciiTheme="minorEastAsia" w:hAnsiTheme="minorEastAsia"/>
          <w:sz w:val="24"/>
          <w:szCs w:val="24"/>
          <w:lang w:val="en-US" w:eastAsia="zh-CN"/>
        </w:rPr>
        <w:t>http://fxpc.qdrise.cn:8094/AH/index.do</w:t>
      </w:r>
      <w:r>
        <w:rPr>
          <w:rFonts w:hint="eastAsia" w:cs="Times New Roman" w:asciiTheme="minorEastAsia" w:hAnsiTheme="minorEastAsia"/>
          <w:sz w:val="24"/>
          <w:szCs w:val="24"/>
        </w:rPr>
        <w:t>，点击回车键或转至可打开危险化学品安全风险分布信息系统登录页；</w:t>
      </w:r>
    </w:p>
    <w:bookmarkEnd w:id="0"/>
    <w:bookmarkEnd w:id="1"/>
    <w:bookmarkEnd w:id="2"/>
    <w:bookmarkEnd w:id="3"/>
    <w:p>
      <w:pPr>
        <w:spacing w:line="360" w:lineRule="auto"/>
        <w:ind w:firstLine="480" w:firstLineChars="200"/>
        <w:rPr>
          <w:rFonts w:hint="eastAsia"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在登录页中输入账号、密码，点击【登录】按钮或回车键，即可进入系统；</w:t>
      </w:r>
    </w:p>
    <w:p>
      <w:pPr>
        <w:spacing w:line="360" w:lineRule="auto"/>
        <w:ind w:firstLine="480" w:firstLineChars="200"/>
        <w:jc w:val="left"/>
        <w:rPr>
          <w:b/>
          <w:sz w:val="36"/>
          <w:szCs w:val="36"/>
        </w:rPr>
      </w:pPr>
      <w:r>
        <w:rPr>
          <w:rFonts w:hint="eastAsia" w:cs="Times New Roman" w:asciiTheme="minorEastAsia" w:hAnsiTheme="minorEastAsia"/>
          <w:sz w:val="24"/>
          <w:szCs w:val="24"/>
        </w:rPr>
        <w:t>若没有账号的用户，需进行账号注册，企业用户需行注册，注册页面如下</w:t>
      </w:r>
      <w:r>
        <w:rPr>
          <w:rFonts w:hint="eastAsia" w:cs="Times New Roman" w:asciiTheme="minorEastAsia" w:hAnsiTheme="minorEastAsia"/>
          <w:sz w:val="24"/>
          <w:szCs w:val="24"/>
          <w:lang w:eastAsia="zh-CN"/>
        </w:rPr>
        <w:t>：</w:t>
      </w:r>
      <w:r>
        <w:rPr>
          <w:rFonts w:hint="eastAsia" w:cs="Times New Roman" w:asciiTheme="minorEastAsia" w:hAnsiTheme="minorEastAsia"/>
          <w:sz w:val="24"/>
          <w:szCs w:val="24"/>
        </w:rPr>
        <w:t>根据要求进行信息的填写，填写完成后点击【立即注册】，即可注册成功：</w:t>
      </w:r>
      <w:r>
        <w:drawing>
          <wp:inline distT="0" distB="0" distL="114300" distR="114300">
            <wp:extent cx="5266690" cy="2542540"/>
            <wp:effectExtent l="0" t="0" r="1016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37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</w:t>
      </w:r>
      <w:r>
        <w:rPr>
          <w:rFonts w:hint="eastAsia" w:ascii="黑体" w:hAnsi="黑体" w:eastAsia="黑体" w:cs="Calibri"/>
          <w:sz w:val="24"/>
          <w:szCs w:val="24"/>
        </w:rPr>
        <w:t>图1.</w:t>
      </w:r>
      <w:r>
        <w:rPr>
          <w:rFonts w:ascii="黑体" w:hAnsi="黑体" w:eastAsia="黑体" w:cs="Calibri"/>
          <w:sz w:val="24"/>
          <w:szCs w:val="24"/>
        </w:rPr>
        <w:t>2</w:t>
      </w:r>
      <w:r>
        <w:rPr>
          <w:rFonts w:hint="eastAsia" w:ascii="黑体" w:hAnsi="黑体" w:eastAsia="黑体" w:cs="Calibri"/>
          <w:sz w:val="24"/>
          <w:szCs w:val="24"/>
        </w:rPr>
        <w:t xml:space="preserve"> 企业用户注册页面</w:t>
      </w:r>
    </w:p>
    <w:p>
      <w:pPr>
        <w:spacing w:line="360" w:lineRule="auto"/>
        <w:ind w:firstLine="480" w:firstLineChars="200"/>
        <w:jc w:val="left"/>
        <w:rPr>
          <w:b/>
          <w:sz w:val="36"/>
          <w:szCs w:val="36"/>
        </w:rPr>
      </w:pPr>
      <w:r>
        <w:rPr>
          <w:rFonts w:hint="eastAsia" w:cs="Times New Roman" w:asciiTheme="minorEastAsia" w:hAnsiTheme="minorEastAsia"/>
          <w:sz w:val="24"/>
          <w:szCs w:val="24"/>
        </w:rPr>
        <w:t>管理账户注册在填写完成后，需上级管理用户进行审批，审批完成后才可进行登录。</w:t>
      </w:r>
      <w:r>
        <w:drawing>
          <wp:inline distT="0" distB="0" distL="114300" distR="114300">
            <wp:extent cx="5267325" cy="2654300"/>
            <wp:effectExtent l="0" t="0" r="952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32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jc w:val="center"/>
        <w:rPr>
          <w:b/>
          <w:sz w:val="36"/>
          <w:szCs w:val="36"/>
        </w:rPr>
      </w:pPr>
      <w:r>
        <w:rPr>
          <w:rFonts w:hint="eastAsia" w:ascii="黑体" w:hAnsi="黑体" w:eastAsia="黑体" w:cs="Calibri"/>
          <w:sz w:val="24"/>
          <w:szCs w:val="24"/>
        </w:rPr>
        <w:t>图1.</w:t>
      </w:r>
      <w:r>
        <w:rPr>
          <w:rFonts w:ascii="黑体" w:hAnsi="黑体" w:eastAsia="黑体" w:cs="Calibri"/>
          <w:sz w:val="24"/>
          <w:szCs w:val="24"/>
        </w:rPr>
        <w:t>3</w:t>
      </w:r>
      <w:r>
        <w:rPr>
          <w:rFonts w:hint="eastAsia" w:ascii="黑体" w:hAnsi="黑体" w:eastAsia="黑体" w:cs="Calibri"/>
          <w:sz w:val="24"/>
          <w:szCs w:val="24"/>
        </w:rPr>
        <w:t xml:space="preserve"> 管理用户注册页面</w:t>
      </w:r>
    </w:p>
    <w:p>
      <w:pPr>
        <w:pStyle w:val="2"/>
      </w:pPr>
      <w:bookmarkStart w:id="5" w:name="_Toc7077"/>
      <w:r>
        <w:rPr>
          <w:rFonts w:hint="eastAsia"/>
        </w:rPr>
        <w:t>管理用户</w:t>
      </w:r>
      <w:bookmarkEnd w:id="5"/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管理</w:t>
      </w:r>
      <w:r>
        <w:rPr>
          <w:rFonts w:cs="Times New Roman" w:asciiTheme="minorEastAsia" w:hAnsiTheme="minorEastAsia"/>
          <w:sz w:val="24"/>
          <w:szCs w:val="24"/>
        </w:rPr>
        <w:t>用户</w:t>
      </w:r>
      <w:r>
        <w:rPr>
          <w:rFonts w:hint="eastAsia" w:cs="Times New Roman" w:asciiTheme="minorEastAsia" w:hAnsiTheme="minorEastAsia"/>
          <w:sz w:val="24"/>
          <w:szCs w:val="24"/>
        </w:rPr>
        <w:t>包括省级管理用户和市级管理用户，有7个功能菜单，分别为基本信息、安全风险（点）、重大危险源、统计分析、管理员审核、分布地图和密码重置。详细信息如下：</w:t>
      </w:r>
    </w:p>
    <w:p>
      <w:pPr>
        <w:pStyle w:val="3"/>
      </w:pPr>
      <w:bookmarkStart w:id="6" w:name="_Toc14777"/>
      <w:r>
        <w:rPr>
          <w:rFonts w:hint="eastAsia"/>
        </w:rPr>
        <w:t>基本信息</w:t>
      </w:r>
      <w:bookmarkEnd w:id="6"/>
    </w:p>
    <w:p>
      <w:pPr>
        <w:spacing w:line="360" w:lineRule="auto"/>
        <w:ind w:firstLine="480" w:firstLineChars="200"/>
        <w:rPr>
          <w:rFonts w:hint="eastAsia" w:cs="Times New Roman" w:asciiTheme="minorEastAsia" w:hAnsiTheme="minorEastAsia" w:eastAsiaTheme="minorEastAsia"/>
          <w:sz w:val="24"/>
          <w:szCs w:val="24"/>
          <w:lang w:eastAsia="zh-CN"/>
        </w:rPr>
      </w:pPr>
      <w:r>
        <w:rPr>
          <w:rFonts w:cs="Times New Roman" w:asciiTheme="minorEastAsia" w:hAnsiTheme="minorEastAsia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876300</wp:posOffset>
            </wp:positionV>
            <wp:extent cx="5274310" cy="2274570"/>
            <wp:effectExtent l="0" t="0" r="2540" b="1143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/>
          <w:sz w:val="24"/>
          <w:szCs w:val="24"/>
        </w:rPr>
        <w:t>管理用户点击</w:t>
      </w:r>
      <w:r>
        <w:rPr>
          <w:rFonts w:hint="eastAsia" w:cs="Times New Roman" w:asciiTheme="minorEastAsia" w:hAnsiTheme="minorEastAsia"/>
          <w:sz w:val="24"/>
          <w:szCs w:val="24"/>
        </w:rPr>
        <w:t>【</w:t>
      </w:r>
      <w:r>
        <w:rPr>
          <w:rFonts w:cs="Times New Roman" w:asciiTheme="minorEastAsia" w:hAnsiTheme="minorEastAsia"/>
          <w:sz w:val="24"/>
          <w:szCs w:val="24"/>
        </w:rPr>
        <w:t>基本信息</w:t>
      </w:r>
      <w:r>
        <w:rPr>
          <w:rFonts w:hint="eastAsia" w:cs="Times New Roman" w:asciiTheme="minorEastAsia" w:hAnsiTheme="minorEastAsia"/>
          <w:sz w:val="24"/>
          <w:szCs w:val="24"/>
        </w:rPr>
        <w:t>】</w:t>
      </w:r>
      <w:r>
        <w:rPr>
          <w:rFonts w:cs="Times New Roman" w:asciiTheme="minorEastAsia" w:hAnsiTheme="minorEastAsia"/>
          <w:sz w:val="24"/>
          <w:szCs w:val="24"/>
        </w:rPr>
        <w:t>菜单进入如下页面</w:t>
      </w:r>
      <w:r>
        <w:rPr>
          <w:rFonts w:hint="eastAsia" w:cs="Times New Roman" w:asciiTheme="minorEastAsia" w:hAnsiTheme="minorEastAsia"/>
          <w:sz w:val="24"/>
          <w:szCs w:val="24"/>
        </w:rPr>
        <w:t>，可</w:t>
      </w:r>
      <w:r>
        <w:rPr>
          <w:rFonts w:cs="Times New Roman" w:asciiTheme="minorEastAsia" w:hAnsiTheme="minorEastAsia"/>
          <w:sz w:val="24"/>
          <w:szCs w:val="24"/>
        </w:rPr>
        <w:t>查看企业的基本信息列表</w:t>
      </w:r>
      <w:r>
        <w:rPr>
          <w:rFonts w:hint="eastAsia" w:cs="Times New Roman" w:asciiTheme="minorEastAsia" w:hAnsiTheme="minorEastAsia"/>
          <w:sz w:val="24"/>
          <w:szCs w:val="24"/>
          <w:lang w:eastAsia="zh-CN"/>
        </w:rPr>
        <w:t>（</w:t>
      </w:r>
      <w:r>
        <w:rPr>
          <w:rFonts w:cs="Times New Roman" w:asciiTheme="minorEastAsia" w:hAnsiTheme="minorEastAsia"/>
          <w:sz w:val="24"/>
          <w:szCs w:val="24"/>
        </w:rPr>
        <w:t>注</w:t>
      </w:r>
      <w:r>
        <w:rPr>
          <w:rFonts w:hint="eastAsia" w:cs="Times New Roman" w:asciiTheme="minorEastAsia" w:hAnsiTheme="minorEastAsia"/>
          <w:sz w:val="24"/>
          <w:szCs w:val="24"/>
        </w:rPr>
        <w:t>：省级管理员可看到全省企业信息，市级管理员可看到本市企业信息。</w:t>
      </w:r>
      <w:r>
        <w:rPr>
          <w:rFonts w:hint="eastAsia" w:cs="Times New Roman" w:asciiTheme="minorEastAsia" w:hAnsiTheme="minorEastAsia"/>
          <w:sz w:val="24"/>
          <w:szCs w:val="24"/>
          <w:lang w:eastAsia="zh-CN"/>
        </w:rPr>
        <w:t>）</w:t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1</w:t>
      </w:r>
      <w:r>
        <w:rPr>
          <w:rFonts w:hint="eastAsia" w:ascii="黑体" w:hAnsi="黑体" w:eastAsia="黑体" w:cs="Calibri"/>
          <w:sz w:val="24"/>
          <w:szCs w:val="24"/>
        </w:rPr>
        <w:t xml:space="preserve"> 企业基本信息页面</w:t>
      </w:r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551180</wp:posOffset>
            </wp:positionV>
            <wp:extent cx="5274310" cy="2681605"/>
            <wp:effectExtent l="0" t="0" r="2540" b="444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/>
          <w:sz w:val="24"/>
          <w:szCs w:val="24"/>
        </w:rPr>
        <w:t>点击</w:t>
      </w:r>
      <w:r>
        <w:rPr>
          <w:rFonts w:hint="eastAsia" w:cs="Times New Roman" w:asciiTheme="minorEastAsia" w:hAnsiTheme="minorEastAsia"/>
          <w:sz w:val="24"/>
          <w:szCs w:val="24"/>
        </w:rPr>
        <w:t>【</w:t>
      </w:r>
      <w:r>
        <w:rPr>
          <w:rFonts w:cs="Times New Roman" w:asciiTheme="minorEastAsia" w:hAnsiTheme="minorEastAsia"/>
          <w:sz w:val="24"/>
          <w:szCs w:val="24"/>
        </w:rPr>
        <w:t>企业名称</w:t>
      </w:r>
      <w:r>
        <w:rPr>
          <w:rFonts w:hint="eastAsia" w:cs="Times New Roman" w:asciiTheme="minorEastAsia" w:hAnsiTheme="minorEastAsia"/>
          <w:sz w:val="24"/>
          <w:szCs w:val="24"/>
        </w:rPr>
        <w:t>】进入如下页面，</w:t>
      </w:r>
      <w:r>
        <w:rPr>
          <w:rFonts w:cs="Times New Roman" w:asciiTheme="minorEastAsia" w:hAnsiTheme="minorEastAsia"/>
          <w:sz w:val="24"/>
          <w:szCs w:val="24"/>
        </w:rPr>
        <w:t>查看企业详细信息</w:t>
      </w:r>
      <w:r>
        <w:rPr>
          <w:rFonts w:hint="eastAsia" w:cs="Times New Roman" w:asciiTheme="minorEastAsia" w:hAnsiTheme="minorEastAsia"/>
          <w:sz w:val="24"/>
          <w:szCs w:val="24"/>
        </w:rPr>
        <w:t>。</w:t>
      </w:r>
    </w:p>
    <w:p>
      <w:pPr>
        <w:spacing w:line="440" w:lineRule="exact"/>
        <w:jc w:val="center"/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2</w:t>
      </w:r>
      <w:r>
        <w:rPr>
          <w:rFonts w:hint="eastAsia" w:ascii="黑体" w:hAnsi="黑体" w:eastAsia="黑体" w:cs="Calibri"/>
          <w:sz w:val="24"/>
          <w:szCs w:val="24"/>
        </w:rPr>
        <w:t xml:space="preserve"> 企业详细信息页面</w:t>
      </w:r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758825</wp:posOffset>
            </wp:positionV>
            <wp:extent cx="5274310" cy="122301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/>
          <w:sz w:val="24"/>
          <w:szCs w:val="24"/>
        </w:rPr>
        <w:t>在列表页面，点击【导出】按钮，可将选择后的危险化学品企业信息进行导出（导出为Excel格式）：</w:t>
      </w:r>
    </w:p>
    <w:p>
      <w:pPr>
        <w:spacing w:line="440" w:lineRule="exact"/>
        <w:jc w:val="center"/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 xml:space="preserve">3 </w:t>
      </w:r>
      <w:r>
        <w:rPr>
          <w:rFonts w:hint="eastAsia" w:ascii="黑体" w:hAnsi="黑体" w:eastAsia="黑体" w:cs="Calibri"/>
          <w:sz w:val="24"/>
          <w:szCs w:val="24"/>
        </w:rPr>
        <w:t>企业信息导出表格</w:t>
      </w:r>
    </w:p>
    <w:p>
      <w:pPr>
        <w:pStyle w:val="3"/>
      </w:pPr>
      <w:bookmarkStart w:id="7" w:name="_Toc19506"/>
      <w:r>
        <w:t>安全风险</w:t>
      </w:r>
      <w:r>
        <w:rPr>
          <w:rFonts w:hint="eastAsia"/>
        </w:rPr>
        <w:t>（点）</w:t>
      </w:r>
      <w:bookmarkEnd w:id="7"/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管理员点击【安全风险（点）】菜单进入如下页面，查看企业维护的危险化学品信息列表。</w:t>
      </w:r>
      <w:r>
        <w:rPr>
          <w:rFonts w:cs="Times New Roman" w:asciiTheme="minorEastAsia" w:hAnsiTheme="minorEastAsia"/>
          <w:sz w:val="24"/>
          <w:szCs w:val="24"/>
        </w:rPr>
        <w:drawing>
          <wp:inline distT="0" distB="0" distL="114300" distR="114300">
            <wp:extent cx="5274310" cy="2346325"/>
            <wp:effectExtent l="0" t="0" r="254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4</w:t>
      </w:r>
      <w:r>
        <w:rPr>
          <w:rFonts w:hint="eastAsia" w:ascii="黑体" w:hAnsi="黑体" w:eastAsia="黑体" w:cs="Calibri"/>
          <w:sz w:val="24"/>
          <w:szCs w:val="24"/>
        </w:rPr>
        <w:t xml:space="preserve"> 危险化学品信息列表页面</w:t>
      </w:r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在列表页面，点击【导出】按钮，可将危险化学品信息进行导出（导出为Excel格式）：</w:t>
      </w:r>
    </w:p>
    <w:p>
      <w:r>
        <w:drawing>
          <wp:inline distT="0" distB="0" distL="0" distR="0">
            <wp:extent cx="5274310" cy="33604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5</w:t>
      </w:r>
      <w:r>
        <w:rPr>
          <w:rFonts w:hint="eastAsia" w:ascii="黑体" w:hAnsi="黑体" w:eastAsia="黑体" w:cs="Calibri"/>
          <w:sz w:val="24"/>
          <w:szCs w:val="24"/>
        </w:rPr>
        <w:t xml:space="preserve"> 危险化学品信息导出表格</w:t>
      </w:r>
    </w:p>
    <w:p>
      <w:pPr>
        <w:pStyle w:val="3"/>
      </w:pPr>
      <w:bookmarkStart w:id="8" w:name="_Toc30616"/>
      <w:r>
        <w:t>重大危险源</w:t>
      </w:r>
      <w:bookmarkEnd w:id="8"/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点击【重大危险源】菜单进入如下页面，查看各企业维护的重大危险源列表。</w:t>
      </w:r>
    </w:p>
    <w:p>
      <w:pPr>
        <w:jc w:val="center"/>
      </w:pPr>
      <w:r>
        <w:drawing>
          <wp:inline distT="0" distB="0" distL="0" distR="0">
            <wp:extent cx="5274310" cy="23977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t="73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6</w:t>
      </w:r>
      <w:r>
        <w:rPr>
          <w:rFonts w:hint="eastAsia" w:ascii="黑体" w:hAnsi="黑体" w:eastAsia="黑体" w:cs="Calibri"/>
          <w:sz w:val="24"/>
          <w:szCs w:val="24"/>
        </w:rPr>
        <w:t xml:space="preserve"> 重大危险源列表页面</w:t>
      </w:r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点击【重大危险源名称】进入如下页面，查看重大危险源详细信息。</w:t>
      </w:r>
    </w:p>
    <w:p>
      <w:pPr>
        <w:jc w:val="center"/>
      </w:pP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274310" cy="2588260"/>
            <wp:effectExtent l="0" t="0" r="2540" b="254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t="65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7</w:t>
      </w:r>
      <w:r>
        <w:rPr>
          <w:rFonts w:hint="eastAsia" w:ascii="黑体" w:hAnsi="黑体" w:eastAsia="黑体" w:cs="Calibri"/>
          <w:sz w:val="24"/>
          <w:szCs w:val="24"/>
        </w:rPr>
        <w:t xml:space="preserve"> 重大危险源详细页面</w:t>
      </w:r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在列表页面，点击【导出】按钮，可将重大危险源信息进行导出（导出为Excel格式）：</w:t>
      </w:r>
    </w:p>
    <w:p>
      <w:pPr>
        <w:jc w:val="center"/>
      </w:pPr>
      <w:r>
        <w:drawing>
          <wp:inline distT="0" distB="0" distL="0" distR="0">
            <wp:extent cx="5274310" cy="2762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8</w:t>
      </w:r>
      <w:r>
        <w:rPr>
          <w:rFonts w:hint="eastAsia" w:ascii="黑体" w:hAnsi="黑体" w:eastAsia="黑体" w:cs="Calibri"/>
          <w:sz w:val="24"/>
          <w:szCs w:val="24"/>
        </w:rPr>
        <w:t xml:space="preserve"> 重大危险源导出表格</w:t>
      </w:r>
    </w:p>
    <w:p>
      <w:pPr>
        <w:pStyle w:val="3"/>
      </w:pPr>
      <w:bookmarkStart w:id="9" w:name="_Toc4647"/>
      <w:r>
        <w:rPr>
          <w:rFonts w:hint="eastAsia"/>
        </w:rPr>
        <w:t>统计分析</w:t>
      </w:r>
      <w:bookmarkEnd w:id="9"/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管理用户点击【统计分析】菜单进入如下页面，省级管理员显示全省17个地市的汇总信息，点击各地市名称查看区县信息，点击区县名称出现企业信息列表，可点击查看具体的企业详细信息。</w:t>
      </w:r>
      <w:r>
        <w:drawing>
          <wp:inline distT="0" distB="0" distL="114300" distR="114300">
            <wp:extent cx="5266055" cy="2324100"/>
            <wp:effectExtent l="0" t="0" r="1079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9</w:t>
      </w:r>
      <w:r>
        <w:rPr>
          <w:rFonts w:hint="eastAsia" w:ascii="黑体" w:hAnsi="黑体" w:eastAsia="黑体" w:cs="Calibri"/>
          <w:sz w:val="24"/>
          <w:szCs w:val="24"/>
        </w:rPr>
        <w:t xml:space="preserve"> 省级管理员基本信息页面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市级管理员显示本市各区的汇总信息，点击区县名称后出现企业信息列表，可点击查看具体的企业详细信息。</w:t>
      </w:r>
      <w:r>
        <w:drawing>
          <wp:inline distT="0" distB="0" distL="114300" distR="114300">
            <wp:extent cx="5269865" cy="2296795"/>
            <wp:effectExtent l="0" t="0" r="698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10</w:t>
      </w:r>
      <w:r>
        <w:rPr>
          <w:rFonts w:hint="eastAsia" w:ascii="黑体" w:hAnsi="黑体" w:eastAsia="黑体" w:cs="Calibri"/>
          <w:sz w:val="24"/>
          <w:szCs w:val="24"/>
        </w:rPr>
        <w:t xml:space="preserve"> 市级管理员基本信息页面</w:t>
      </w:r>
    </w:p>
    <w:p>
      <w:pPr>
        <w:pStyle w:val="3"/>
      </w:pPr>
      <w:bookmarkStart w:id="10" w:name="_Toc23718"/>
      <w:r>
        <w:t>管理员审核</w:t>
      </w:r>
      <w:bookmarkEnd w:id="10"/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管理用户点击【管理员审核】菜单进入如下页面，可审批或驳回管理员注册信息。</w:t>
      </w:r>
      <w:r>
        <w:drawing>
          <wp:inline distT="0" distB="0" distL="114300" distR="114300">
            <wp:extent cx="5269865" cy="2200275"/>
            <wp:effectExtent l="0" t="0" r="698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11</w:t>
      </w:r>
      <w:r>
        <w:rPr>
          <w:rFonts w:hint="eastAsia" w:ascii="黑体" w:hAnsi="黑体" w:eastAsia="黑体" w:cs="Calibri"/>
          <w:sz w:val="24"/>
          <w:szCs w:val="24"/>
        </w:rPr>
        <w:t xml:space="preserve"> 管理员审核页面</w:t>
      </w:r>
    </w:p>
    <w:p>
      <w:pPr>
        <w:pStyle w:val="3"/>
      </w:pPr>
      <w:bookmarkStart w:id="11" w:name="_Toc7509"/>
      <w:r>
        <w:rPr>
          <w:rFonts w:hint="eastAsia"/>
        </w:rPr>
        <w:t>分布地图</w:t>
      </w:r>
      <w:bookmarkEnd w:id="11"/>
    </w:p>
    <w:p>
      <w:pPr>
        <w:spacing w:line="360" w:lineRule="auto"/>
        <w:ind w:firstLine="480" w:firstLineChars="200"/>
        <w:jc w:val="center"/>
      </w:pPr>
      <w:r>
        <w:rPr>
          <w:rFonts w:hint="eastAsia" w:cs="Times New Roman" w:asciiTheme="minorEastAsia" w:hAnsiTheme="minorEastAsia"/>
          <w:sz w:val="24"/>
          <w:szCs w:val="24"/>
        </w:rPr>
        <w:t>管理用户点击【分布地图】菜单进入如下页面，可在地图上查看全省各地市的危险化学品企业数量。</w:t>
      </w:r>
      <w:r>
        <w:drawing>
          <wp:inline distT="0" distB="0" distL="114300" distR="114300">
            <wp:extent cx="5264785" cy="2367915"/>
            <wp:effectExtent l="0" t="0" r="12065" b="133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12</w:t>
      </w:r>
      <w:r>
        <w:rPr>
          <w:rFonts w:hint="eastAsia" w:ascii="黑体" w:hAnsi="黑体" w:eastAsia="黑体" w:cs="Calibri"/>
          <w:sz w:val="24"/>
          <w:szCs w:val="24"/>
        </w:rPr>
        <w:t xml:space="preserve"> 分布地图</w:t>
      </w:r>
    </w:p>
    <w:p>
      <w:pPr>
        <w:pStyle w:val="3"/>
      </w:pPr>
      <w:bookmarkStart w:id="12" w:name="_Toc28341"/>
      <w:r>
        <w:rPr>
          <w:rFonts w:hint="eastAsia"/>
        </w:rPr>
        <w:t>密码重置</w:t>
      </w:r>
      <w:bookmarkEnd w:id="12"/>
    </w:p>
    <w:p>
      <w:pPr>
        <w:spacing w:line="360" w:lineRule="auto"/>
        <w:ind w:firstLine="480" w:firstLineChars="200"/>
        <w:jc w:val="left"/>
      </w:pPr>
      <w:r>
        <w:rPr>
          <w:rFonts w:cs="Times New Roman" w:asciiTheme="minorEastAsia" w:hAnsiTheme="minorEastAsia"/>
          <w:sz w:val="24"/>
          <w:szCs w:val="24"/>
        </w:rPr>
        <w:t>管理用户点击右上角</w:t>
      </w:r>
      <w:r>
        <w:rPr>
          <w:rFonts w:hint="eastAsia" w:cs="Times New Roman" w:asciiTheme="minorEastAsia" w:hAnsiTheme="minorEastAsia"/>
          <w:sz w:val="24"/>
          <w:szCs w:val="24"/>
        </w:rPr>
        <w:t>【密码重置】按钮进入如下页面，可勾选企业用户进行密码复位，将密码复位为</w:t>
      </w:r>
      <w:r>
        <w:rPr>
          <w:rFonts w:hint="eastAsia" w:cs="Times New Roman" w:asciiTheme="minorEastAsia" w:hAnsiTheme="minorEastAsia"/>
          <w:sz w:val="24"/>
          <w:szCs w:val="24"/>
          <w:lang w:val="en-US" w:eastAsia="zh-CN"/>
        </w:rPr>
        <w:t>aa</w:t>
      </w:r>
      <w:r>
        <w:rPr>
          <w:rFonts w:hint="eastAsia" w:cs="Times New Roman" w:asciiTheme="minorEastAsia" w:hAnsiTheme="minorEastAsia"/>
          <w:sz w:val="24"/>
          <w:szCs w:val="24"/>
        </w:rPr>
        <w:t>888888，也可删除企业用户信息。</w:t>
      </w:r>
      <w:r>
        <w:drawing>
          <wp:inline distT="0" distB="0" distL="114300" distR="114300">
            <wp:extent cx="5261610" cy="2428875"/>
            <wp:effectExtent l="0" t="0" r="1524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图2.</w:t>
      </w:r>
      <w:r>
        <w:rPr>
          <w:rFonts w:ascii="黑体" w:hAnsi="黑体" w:eastAsia="黑体" w:cs="Calibri"/>
          <w:sz w:val="24"/>
          <w:szCs w:val="24"/>
        </w:rPr>
        <w:t>13</w:t>
      </w:r>
      <w:r>
        <w:rPr>
          <w:rFonts w:hint="eastAsia" w:ascii="黑体" w:hAnsi="黑体" w:eastAsia="黑体" w:cs="Calibri"/>
          <w:sz w:val="24"/>
          <w:szCs w:val="24"/>
        </w:rPr>
        <w:t xml:space="preserve"> 密码重置页面</w:t>
      </w:r>
      <w:bookmarkStart w:id="13" w:name="_Toc517279000"/>
      <w:bookmarkEnd w:id="13"/>
      <w:bookmarkStart w:id="14" w:name="_Toc492992693"/>
      <w:bookmarkEnd w:id="14"/>
    </w:p>
    <w:p>
      <w:pPr>
        <w:pStyle w:val="2"/>
      </w:pPr>
      <w:bookmarkStart w:id="15" w:name="_Toc9347"/>
      <w:r>
        <w:t>企业用户</w:t>
      </w:r>
      <w:bookmarkEnd w:id="15"/>
      <w:bookmarkStart w:id="16" w:name="_Toc517280032"/>
      <w:bookmarkEnd w:id="16"/>
      <w:bookmarkStart w:id="17" w:name="_Toc492992694"/>
      <w:bookmarkEnd w:id="17"/>
      <w:bookmarkStart w:id="18" w:name="_Toc517279924"/>
      <w:bookmarkEnd w:id="18"/>
      <w:bookmarkStart w:id="19" w:name="_Toc517279900"/>
      <w:bookmarkEnd w:id="19"/>
      <w:bookmarkStart w:id="20" w:name="_Toc517279001"/>
      <w:bookmarkEnd w:id="20"/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企业用户常用功能栏下分为</w:t>
      </w:r>
      <w:r>
        <w:rPr>
          <w:rFonts w:cs="Times New Roman" w:asciiTheme="minorEastAsia" w:hAnsiTheme="minorEastAsia"/>
          <w:sz w:val="24"/>
          <w:szCs w:val="24"/>
        </w:rPr>
        <w:t>2</w:t>
      </w:r>
      <w:r>
        <w:rPr>
          <w:rFonts w:hint="eastAsia" w:cs="Times New Roman" w:asciiTheme="minorEastAsia" w:hAnsiTheme="minorEastAsia"/>
          <w:sz w:val="24"/>
          <w:szCs w:val="24"/>
        </w:rPr>
        <w:t>个菜单，分别为单位信息登记和重大危险源登记。</w:t>
      </w:r>
    </w:p>
    <w:p>
      <w:pPr>
        <w:pStyle w:val="3"/>
      </w:pPr>
      <w:bookmarkStart w:id="21" w:name="_Toc6334"/>
      <w:r>
        <w:rPr>
          <w:rFonts w:hint="eastAsia"/>
        </w:rPr>
        <w:t>单位信息登记</w:t>
      </w:r>
      <w:bookmarkEnd w:id="21"/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点击【单位信息登记】菜单显示如下界面，可在此页面进行企业信息的维护，</w:t>
      </w:r>
      <w:r>
        <w:rPr>
          <w:rFonts w:hint="eastAsia" w:cs="Times New Roman" w:asciiTheme="minorEastAsia" w:hAnsiTheme="minorEastAsia"/>
          <w:sz w:val="24"/>
          <w:szCs w:val="24"/>
          <w:lang w:val="en-US" w:eastAsia="zh-CN"/>
        </w:rPr>
        <w:t xml:space="preserve">  </w:t>
      </w:r>
      <w:r>
        <w:rPr>
          <w:rFonts w:hint="eastAsia" w:cs="Times New Roman" w:asciiTheme="minorEastAsia" w:hAnsiTheme="minorEastAsia"/>
          <w:sz w:val="24"/>
          <w:szCs w:val="24"/>
        </w:rPr>
        <w:t>根据“所在行业”的不同，登记页面也会进行相应的</w:t>
      </w:r>
      <w:r>
        <w:rPr>
          <w:rFonts w:hint="eastAsia" w:cs="Times New Roman" w:asciiTheme="minorEastAsia" w:hAnsiTheme="minorEastAsia"/>
          <w:sz w:val="24"/>
          <w:szCs w:val="24"/>
          <w:lang w:val="en-US" w:eastAsia="zh-CN"/>
        </w:rPr>
        <w:t>调整：</w:t>
      </w:r>
      <w:r>
        <w:drawing>
          <wp:inline distT="0" distB="0" distL="114300" distR="114300">
            <wp:extent cx="5266690" cy="2434590"/>
            <wp:effectExtent l="0" t="0" r="10160" b="38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</w:t>
      </w:r>
      <w:r>
        <w:rPr>
          <w:rFonts w:ascii="黑体" w:hAnsi="黑体" w:eastAsia="黑体" w:cs="Calibri"/>
          <w:sz w:val="24"/>
          <w:szCs w:val="24"/>
        </w:rPr>
        <w:t>3.</w:t>
      </w:r>
      <w:r>
        <w:rPr>
          <w:rFonts w:hint="eastAsia" w:ascii="黑体" w:hAnsi="黑体" w:eastAsia="黑体" w:cs="Calibri"/>
          <w:sz w:val="24"/>
          <w:szCs w:val="24"/>
        </w:rPr>
        <w:t>1企业信息登记页面</w:t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其中，“生产、储存场所地址”和“危险化学品”字段可支持新增多个以及批量删除功能。点击新增，弹出详细新增页面如下：</w:t>
      </w:r>
      <w:r>
        <w:drawing>
          <wp:inline distT="0" distB="0" distL="114300" distR="114300">
            <wp:extent cx="5264785" cy="1580515"/>
            <wp:effectExtent l="0" t="0" r="12065" b="63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80" w:firstLineChars="200"/>
        <w:jc w:val="center"/>
        <w:rPr>
          <w:rFonts w:ascii="仿宋_GB2312" w:hAnsi="宋体" w:eastAsia="仿宋_GB2312" w:cs="Times New Roman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图3.2生产、储存场所地址新增页面</w:t>
      </w:r>
    </w:p>
    <w:p>
      <w:pPr>
        <w:spacing w:line="440" w:lineRule="exact"/>
        <w:jc w:val="center"/>
        <w:rPr>
          <w:rFonts w:ascii="仿宋_GB2312" w:hAnsi="宋体" w:eastAsia="仿宋_GB2312" w:cs="Times New Roman"/>
          <w:sz w:val="24"/>
          <w:szCs w:val="24"/>
        </w:rPr>
      </w:pPr>
      <w:bookmarkStart w:id="22" w:name="_Hlk492993073"/>
      <w: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212725</wp:posOffset>
            </wp:positionV>
            <wp:extent cx="5788660" cy="2955290"/>
            <wp:effectExtent l="0" t="0" r="2540" b="16510"/>
            <wp:wrapTopAndBottom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2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2"/>
      <w:r>
        <w:rPr>
          <w:rFonts w:hint="eastAsia" w:ascii="黑体" w:hAnsi="黑体" w:eastAsia="黑体" w:cs="Calibri"/>
          <w:sz w:val="24"/>
          <w:szCs w:val="24"/>
        </w:rPr>
        <w:t>图</w:t>
      </w:r>
      <w:r>
        <w:rPr>
          <w:rFonts w:ascii="黑体" w:hAnsi="黑体" w:eastAsia="黑体" w:cs="Calibri"/>
          <w:sz w:val="24"/>
          <w:szCs w:val="24"/>
        </w:rPr>
        <w:t>3.3</w:t>
      </w:r>
      <w:r>
        <w:rPr>
          <w:rFonts w:hint="eastAsia" w:ascii="黑体" w:hAnsi="黑体" w:eastAsia="黑体" w:cs="Calibri"/>
          <w:sz w:val="24"/>
          <w:szCs w:val="24"/>
        </w:rPr>
        <w:t>危险化学品新增页面</w:t>
      </w:r>
    </w:p>
    <w:p>
      <w:pPr>
        <w:pStyle w:val="3"/>
      </w:pPr>
      <w:bookmarkStart w:id="23" w:name="_Toc202"/>
      <w:r>
        <w:rPr>
          <w:rFonts w:hint="eastAsia"/>
        </w:rPr>
        <w:t>重大危险源登记</w:t>
      </w:r>
      <w:bookmarkEnd w:id="23"/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sz w:val="24"/>
          <w:szCs w:val="24"/>
        </w:rPr>
        <w:t>点击【重大危险源登记】菜单显示如下界面，可在此页面进行重大危险源的新增、修改以及删除: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567680" cy="2790825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0050" cy="279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</w:t>
      </w:r>
      <w:r>
        <w:rPr>
          <w:rFonts w:ascii="黑体" w:hAnsi="黑体" w:eastAsia="黑体" w:cs="Calibri"/>
          <w:sz w:val="24"/>
          <w:szCs w:val="24"/>
        </w:rPr>
        <w:t>3.4</w:t>
      </w:r>
      <w:r>
        <w:rPr>
          <w:rFonts w:hint="eastAsia" w:ascii="黑体" w:hAnsi="黑体" w:eastAsia="黑体" w:cs="Calibri"/>
          <w:sz w:val="24"/>
          <w:szCs w:val="24"/>
        </w:rPr>
        <w:t xml:space="preserve"> 重大危险源登记纵览页面</w:t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567680" cy="2887980"/>
            <wp:effectExtent l="0" t="0" r="0" b="0"/>
            <wp:wrapTopAndBottom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/>
          <w:sz w:val="24"/>
          <w:szCs w:val="24"/>
        </w:rPr>
        <w:t>点击新增按钮，弹出如下页面，可在此页面对重大危险源信息进行维护：</w:t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</w:t>
      </w:r>
      <w:r>
        <w:rPr>
          <w:rFonts w:ascii="黑体" w:hAnsi="黑体" w:eastAsia="黑体" w:cs="Calibri"/>
          <w:sz w:val="24"/>
          <w:szCs w:val="24"/>
        </w:rPr>
        <w:t>3.5</w:t>
      </w:r>
      <w:r>
        <w:rPr>
          <w:rFonts w:hint="eastAsia" w:ascii="黑体" w:hAnsi="黑体" w:eastAsia="黑体" w:cs="Calibri"/>
          <w:sz w:val="24"/>
          <w:szCs w:val="24"/>
        </w:rPr>
        <w:t xml:space="preserve"> 重大危险源新增页面</w:t>
      </w:r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657225</wp:posOffset>
            </wp:positionV>
            <wp:extent cx="5600700" cy="2900045"/>
            <wp:effectExtent l="0" t="0" r="0" b="0"/>
            <wp:wrapTopAndBottom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/>
          <w:sz w:val="24"/>
          <w:szCs w:val="24"/>
        </w:rPr>
        <w:t>选中一条重大危险源，点击【修改】，弹出重大危险源修改页面，可在此页面对重大危险源进行修改，修改完成后点击【保存】按钮，即可修改成功：</w:t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</w:t>
      </w:r>
      <w:r>
        <w:rPr>
          <w:rFonts w:ascii="黑体" w:hAnsi="黑体" w:eastAsia="黑体" w:cs="Calibri"/>
          <w:sz w:val="24"/>
          <w:szCs w:val="24"/>
        </w:rPr>
        <w:t>3.6</w:t>
      </w:r>
      <w:r>
        <w:rPr>
          <w:rFonts w:hint="eastAsia" w:ascii="黑体" w:hAnsi="黑体" w:eastAsia="黑体" w:cs="Calibri"/>
          <w:sz w:val="24"/>
          <w:szCs w:val="24"/>
        </w:rPr>
        <w:t xml:space="preserve"> 重大危险源修改页面</w:t>
      </w:r>
    </w:p>
    <w:p>
      <w:pPr>
        <w:spacing w:line="360" w:lineRule="auto"/>
        <w:ind w:firstLine="480" w:firstLineChars="200"/>
        <w:rPr>
          <w:rFonts w:cs="Times New Roman"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640080</wp:posOffset>
            </wp:positionV>
            <wp:extent cx="5791200" cy="2708275"/>
            <wp:effectExtent l="0" t="0" r="0" b="0"/>
            <wp:wrapTopAndBottom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/>
          <w:sz w:val="24"/>
          <w:szCs w:val="24"/>
        </w:rPr>
        <w:t>选中一条数据，点击【删除】，在弹出框中点击【确定】，即可将此条数据进行删除，支持批量删除功能。</w:t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</w:t>
      </w:r>
      <w:r>
        <w:rPr>
          <w:rFonts w:ascii="黑体" w:hAnsi="黑体" w:eastAsia="黑体" w:cs="Calibri"/>
          <w:sz w:val="24"/>
          <w:szCs w:val="24"/>
        </w:rPr>
        <w:t>3.7</w:t>
      </w:r>
      <w:r>
        <w:rPr>
          <w:rFonts w:hint="eastAsia" w:ascii="黑体" w:hAnsi="黑体" w:eastAsia="黑体" w:cs="Calibri"/>
          <w:sz w:val="24"/>
          <w:szCs w:val="24"/>
        </w:rPr>
        <w:t xml:space="preserve"> 重大危险源删除</w:t>
      </w:r>
    </w:p>
    <w:p>
      <w:pPr>
        <w:pStyle w:val="3"/>
      </w:pPr>
      <w:bookmarkStart w:id="24" w:name="_Toc10586"/>
      <w:r>
        <w:rPr>
          <w:rFonts w:hint="eastAsia"/>
        </w:rPr>
        <w:t>修改密码</w:t>
      </w:r>
      <w:bookmarkEnd w:id="24"/>
    </w:p>
    <w:p>
      <w:pPr>
        <w:spacing w:line="360" w:lineRule="auto"/>
        <w:ind w:firstLine="420" w:firstLineChars="200"/>
        <w:rPr>
          <w:rFonts w:ascii="仿宋_GB2312" w:hAnsi="宋体" w:eastAsia="仿宋_GB2312" w:cs="Times New Roman"/>
          <w:sz w:val="24"/>
          <w:szCs w:val="24"/>
        </w:rPr>
      </w:pP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670560</wp:posOffset>
            </wp:positionV>
            <wp:extent cx="5274310" cy="258254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宋体" w:eastAsia="仿宋_GB2312" w:cs="Times New Roman"/>
          <w:sz w:val="24"/>
          <w:szCs w:val="24"/>
        </w:rPr>
        <w:t>点击右上角</w:t>
      </w:r>
      <w:r>
        <w:rPr>
          <w:rFonts w:hint="eastAsia" w:ascii="仿宋_GB2312" w:hAnsi="宋体" w:eastAsia="仿宋_GB2312" w:cs="Times New Roman"/>
          <w:sz w:val="24"/>
          <w:szCs w:val="24"/>
        </w:rPr>
        <w:t>【修改密码】按钮出现如下页面，输入原密码和新密码，即可修改密码成功。</w:t>
      </w:r>
    </w:p>
    <w:p>
      <w:pPr>
        <w:spacing w:line="440" w:lineRule="exact"/>
        <w:jc w:val="center"/>
        <w:rPr>
          <w:rFonts w:ascii="黑体" w:hAnsi="黑体" w:eastAsia="黑体" w:cs="Calibri"/>
          <w:sz w:val="24"/>
          <w:szCs w:val="24"/>
        </w:rPr>
      </w:pPr>
      <w:r>
        <w:rPr>
          <w:rFonts w:hint="eastAsia" w:ascii="黑体" w:hAnsi="黑体" w:eastAsia="黑体" w:cs="Calibri"/>
          <w:sz w:val="24"/>
          <w:szCs w:val="24"/>
        </w:rPr>
        <w:t>图</w:t>
      </w:r>
      <w:r>
        <w:rPr>
          <w:rFonts w:ascii="黑体" w:hAnsi="黑体" w:eastAsia="黑体" w:cs="Calibri"/>
          <w:sz w:val="24"/>
          <w:szCs w:val="24"/>
        </w:rPr>
        <w:t>3.8</w:t>
      </w:r>
      <w:r>
        <w:rPr>
          <w:rFonts w:hint="eastAsia" w:ascii="黑体" w:hAnsi="黑体" w:eastAsia="黑体" w:cs="Calibri"/>
          <w:sz w:val="24"/>
          <w:szCs w:val="24"/>
        </w:rPr>
        <w:t xml:space="preserve"> 修改密码页面</w:t>
      </w:r>
    </w:p>
    <w:p>
      <w:pPr>
        <w:spacing w:line="440" w:lineRule="exact"/>
        <w:rPr>
          <w:rFonts w:ascii="仿宋_GB2312" w:hAnsi="宋体" w:eastAsia="仿宋_GB2312" w:cs="Times New Roman"/>
          <w:sz w:val="24"/>
          <w:szCs w:val="24"/>
        </w:rPr>
      </w:pPr>
    </w:p>
    <w:p>
      <w:pPr>
        <w:spacing w:line="440" w:lineRule="exact"/>
        <w:ind w:firstLine="480" w:firstLineChars="200"/>
        <w:rPr>
          <w:rFonts w:ascii="仿宋_GB2312" w:hAnsi="宋体" w:eastAsia="仿宋_GB2312" w:cs="Times New Roman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91464105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rPr>
            <w:lang w:val="zh-CN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>危险化学品风险分布信息系统用户手册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A6715"/>
    <w:multiLevelType w:val="multilevel"/>
    <w:tmpl w:val="146A6715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1F"/>
    <w:rsid w:val="00006657"/>
    <w:rsid w:val="00016467"/>
    <w:rsid w:val="00031805"/>
    <w:rsid w:val="00052CF0"/>
    <w:rsid w:val="00053BCA"/>
    <w:rsid w:val="00074279"/>
    <w:rsid w:val="000816A7"/>
    <w:rsid w:val="000A02EA"/>
    <w:rsid w:val="000A0D85"/>
    <w:rsid w:val="000A16D8"/>
    <w:rsid w:val="000A1F56"/>
    <w:rsid w:val="000A38B9"/>
    <w:rsid w:val="000A690F"/>
    <w:rsid w:val="000A6B37"/>
    <w:rsid w:val="000B2687"/>
    <w:rsid w:val="000C25DC"/>
    <w:rsid w:val="000C559A"/>
    <w:rsid w:val="000C7060"/>
    <w:rsid w:val="000E4D9C"/>
    <w:rsid w:val="000F1A22"/>
    <w:rsid w:val="000F1FF0"/>
    <w:rsid w:val="0010029F"/>
    <w:rsid w:val="001067B4"/>
    <w:rsid w:val="00120B53"/>
    <w:rsid w:val="00124CFE"/>
    <w:rsid w:val="00143394"/>
    <w:rsid w:val="00144066"/>
    <w:rsid w:val="00145E00"/>
    <w:rsid w:val="00163355"/>
    <w:rsid w:val="00163462"/>
    <w:rsid w:val="00165489"/>
    <w:rsid w:val="00166C8A"/>
    <w:rsid w:val="00171F5C"/>
    <w:rsid w:val="00173E59"/>
    <w:rsid w:val="0018155C"/>
    <w:rsid w:val="0019211D"/>
    <w:rsid w:val="00194164"/>
    <w:rsid w:val="00194B4F"/>
    <w:rsid w:val="00195E6C"/>
    <w:rsid w:val="001B53A3"/>
    <w:rsid w:val="001C664D"/>
    <w:rsid w:val="001D09B3"/>
    <w:rsid w:val="001D424F"/>
    <w:rsid w:val="001E190F"/>
    <w:rsid w:val="001E310A"/>
    <w:rsid w:val="001E484F"/>
    <w:rsid w:val="001E6379"/>
    <w:rsid w:val="001F6386"/>
    <w:rsid w:val="001F7D61"/>
    <w:rsid w:val="00204613"/>
    <w:rsid w:val="00205CD4"/>
    <w:rsid w:val="00215BCD"/>
    <w:rsid w:val="00216B40"/>
    <w:rsid w:val="00225C29"/>
    <w:rsid w:val="0023156C"/>
    <w:rsid w:val="00240A31"/>
    <w:rsid w:val="00241F5C"/>
    <w:rsid w:val="00243207"/>
    <w:rsid w:val="00243F97"/>
    <w:rsid w:val="0025263A"/>
    <w:rsid w:val="0025757B"/>
    <w:rsid w:val="00264B70"/>
    <w:rsid w:val="002660AB"/>
    <w:rsid w:val="002660F0"/>
    <w:rsid w:val="00274215"/>
    <w:rsid w:val="00277E02"/>
    <w:rsid w:val="00285AE1"/>
    <w:rsid w:val="002907BA"/>
    <w:rsid w:val="00293F5F"/>
    <w:rsid w:val="00296892"/>
    <w:rsid w:val="00297EAD"/>
    <w:rsid w:val="002A0104"/>
    <w:rsid w:val="002A0BF0"/>
    <w:rsid w:val="002A1476"/>
    <w:rsid w:val="002B16B6"/>
    <w:rsid w:val="002B2B9C"/>
    <w:rsid w:val="002C2C2D"/>
    <w:rsid w:val="002D2EAC"/>
    <w:rsid w:val="002D6415"/>
    <w:rsid w:val="002E0144"/>
    <w:rsid w:val="002E5BE7"/>
    <w:rsid w:val="002E6FA2"/>
    <w:rsid w:val="002F6468"/>
    <w:rsid w:val="00302E7B"/>
    <w:rsid w:val="00311651"/>
    <w:rsid w:val="00311A23"/>
    <w:rsid w:val="003139EE"/>
    <w:rsid w:val="00316D4F"/>
    <w:rsid w:val="00321D61"/>
    <w:rsid w:val="0032266D"/>
    <w:rsid w:val="00323635"/>
    <w:rsid w:val="003255F1"/>
    <w:rsid w:val="00325DE7"/>
    <w:rsid w:val="00336C87"/>
    <w:rsid w:val="00357DEC"/>
    <w:rsid w:val="00372808"/>
    <w:rsid w:val="00373E66"/>
    <w:rsid w:val="003745EF"/>
    <w:rsid w:val="00375115"/>
    <w:rsid w:val="0038140B"/>
    <w:rsid w:val="00382149"/>
    <w:rsid w:val="00385217"/>
    <w:rsid w:val="00390500"/>
    <w:rsid w:val="00396F3F"/>
    <w:rsid w:val="003A044B"/>
    <w:rsid w:val="003A1E15"/>
    <w:rsid w:val="003B066E"/>
    <w:rsid w:val="003B0717"/>
    <w:rsid w:val="003B2BFC"/>
    <w:rsid w:val="003C792F"/>
    <w:rsid w:val="003D2A3D"/>
    <w:rsid w:val="003D2A83"/>
    <w:rsid w:val="003D5293"/>
    <w:rsid w:val="003D7099"/>
    <w:rsid w:val="003D76EF"/>
    <w:rsid w:val="003D7758"/>
    <w:rsid w:val="003E0479"/>
    <w:rsid w:val="003E25BA"/>
    <w:rsid w:val="003E5EFC"/>
    <w:rsid w:val="003E7030"/>
    <w:rsid w:val="003F14FA"/>
    <w:rsid w:val="003F69A9"/>
    <w:rsid w:val="00406F30"/>
    <w:rsid w:val="00410D26"/>
    <w:rsid w:val="004118E0"/>
    <w:rsid w:val="00423C50"/>
    <w:rsid w:val="0042561E"/>
    <w:rsid w:val="00436C21"/>
    <w:rsid w:val="00446841"/>
    <w:rsid w:val="00446E1A"/>
    <w:rsid w:val="00465D3C"/>
    <w:rsid w:val="0047437F"/>
    <w:rsid w:val="0047489B"/>
    <w:rsid w:val="00475606"/>
    <w:rsid w:val="0047790D"/>
    <w:rsid w:val="00477DC3"/>
    <w:rsid w:val="0048352B"/>
    <w:rsid w:val="00484A0F"/>
    <w:rsid w:val="00485CD8"/>
    <w:rsid w:val="004877B6"/>
    <w:rsid w:val="004948ED"/>
    <w:rsid w:val="00495DA7"/>
    <w:rsid w:val="004A495E"/>
    <w:rsid w:val="004A5186"/>
    <w:rsid w:val="004A7157"/>
    <w:rsid w:val="004B0EC8"/>
    <w:rsid w:val="004B3B25"/>
    <w:rsid w:val="004B5979"/>
    <w:rsid w:val="004B5EAD"/>
    <w:rsid w:val="004C2849"/>
    <w:rsid w:val="004C599D"/>
    <w:rsid w:val="004C7E09"/>
    <w:rsid w:val="004D0948"/>
    <w:rsid w:val="004F13AC"/>
    <w:rsid w:val="004F7460"/>
    <w:rsid w:val="005261B7"/>
    <w:rsid w:val="00534783"/>
    <w:rsid w:val="00535CF5"/>
    <w:rsid w:val="00537FC3"/>
    <w:rsid w:val="0055140C"/>
    <w:rsid w:val="00562747"/>
    <w:rsid w:val="00563B7D"/>
    <w:rsid w:val="00563BD2"/>
    <w:rsid w:val="005667BF"/>
    <w:rsid w:val="00567342"/>
    <w:rsid w:val="00570804"/>
    <w:rsid w:val="005A0351"/>
    <w:rsid w:val="005C51EE"/>
    <w:rsid w:val="005C5423"/>
    <w:rsid w:val="005D1D69"/>
    <w:rsid w:val="005D4AA4"/>
    <w:rsid w:val="005D6964"/>
    <w:rsid w:val="005E2FEA"/>
    <w:rsid w:val="005E510F"/>
    <w:rsid w:val="005E541B"/>
    <w:rsid w:val="005F64CC"/>
    <w:rsid w:val="005F7C59"/>
    <w:rsid w:val="00601B19"/>
    <w:rsid w:val="00603374"/>
    <w:rsid w:val="00614DE4"/>
    <w:rsid w:val="00622412"/>
    <w:rsid w:val="00622548"/>
    <w:rsid w:val="006264D8"/>
    <w:rsid w:val="006330FB"/>
    <w:rsid w:val="00637A07"/>
    <w:rsid w:val="00642848"/>
    <w:rsid w:val="00642D2C"/>
    <w:rsid w:val="00646F33"/>
    <w:rsid w:val="00646FBF"/>
    <w:rsid w:val="006507E8"/>
    <w:rsid w:val="006517BA"/>
    <w:rsid w:val="00655839"/>
    <w:rsid w:val="00667872"/>
    <w:rsid w:val="00667EC6"/>
    <w:rsid w:val="006736AB"/>
    <w:rsid w:val="00676F6D"/>
    <w:rsid w:val="006772B5"/>
    <w:rsid w:val="0068326B"/>
    <w:rsid w:val="0068492B"/>
    <w:rsid w:val="00692285"/>
    <w:rsid w:val="00693083"/>
    <w:rsid w:val="00693B64"/>
    <w:rsid w:val="00694206"/>
    <w:rsid w:val="00697D45"/>
    <w:rsid w:val="00697D4E"/>
    <w:rsid w:val="006A5C14"/>
    <w:rsid w:val="006A7CDF"/>
    <w:rsid w:val="006B4E1F"/>
    <w:rsid w:val="006B786E"/>
    <w:rsid w:val="006C21F8"/>
    <w:rsid w:val="006C2AED"/>
    <w:rsid w:val="006D0973"/>
    <w:rsid w:val="006E15E6"/>
    <w:rsid w:val="006F074E"/>
    <w:rsid w:val="006F2FBA"/>
    <w:rsid w:val="006F60A3"/>
    <w:rsid w:val="006F7429"/>
    <w:rsid w:val="00702C96"/>
    <w:rsid w:val="00707378"/>
    <w:rsid w:val="00710286"/>
    <w:rsid w:val="007102D6"/>
    <w:rsid w:val="00710EF9"/>
    <w:rsid w:val="00716E6F"/>
    <w:rsid w:val="00723B95"/>
    <w:rsid w:val="00727A35"/>
    <w:rsid w:val="007410AA"/>
    <w:rsid w:val="00746E99"/>
    <w:rsid w:val="00750197"/>
    <w:rsid w:val="00757709"/>
    <w:rsid w:val="00761414"/>
    <w:rsid w:val="007712A3"/>
    <w:rsid w:val="00773D14"/>
    <w:rsid w:val="00776653"/>
    <w:rsid w:val="007822A4"/>
    <w:rsid w:val="00783B52"/>
    <w:rsid w:val="0079549A"/>
    <w:rsid w:val="007A2BFF"/>
    <w:rsid w:val="007A6A42"/>
    <w:rsid w:val="007B30E2"/>
    <w:rsid w:val="007B6332"/>
    <w:rsid w:val="007C19BC"/>
    <w:rsid w:val="007C5D8C"/>
    <w:rsid w:val="007C69C0"/>
    <w:rsid w:val="007D57B1"/>
    <w:rsid w:val="007D6EEE"/>
    <w:rsid w:val="007E25CA"/>
    <w:rsid w:val="007E2E2D"/>
    <w:rsid w:val="007F39DC"/>
    <w:rsid w:val="00800460"/>
    <w:rsid w:val="00803493"/>
    <w:rsid w:val="00804DF8"/>
    <w:rsid w:val="0080513B"/>
    <w:rsid w:val="0080723D"/>
    <w:rsid w:val="00810043"/>
    <w:rsid w:val="00821B53"/>
    <w:rsid w:val="00830E7B"/>
    <w:rsid w:val="008327DB"/>
    <w:rsid w:val="008353E3"/>
    <w:rsid w:val="00851CB3"/>
    <w:rsid w:val="0085316B"/>
    <w:rsid w:val="00857BB1"/>
    <w:rsid w:val="00875B8C"/>
    <w:rsid w:val="00875C9A"/>
    <w:rsid w:val="0087737C"/>
    <w:rsid w:val="008914F8"/>
    <w:rsid w:val="008A2C89"/>
    <w:rsid w:val="008A6BBF"/>
    <w:rsid w:val="008C5567"/>
    <w:rsid w:val="008F3550"/>
    <w:rsid w:val="008F670B"/>
    <w:rsid w:val="008F7697"/>
    <w:rsid w:val="008F7EA6"/>
    <w:rsid w:val="0091461F"/>
    <w:rsid w:val="009158FF"/>
    <w:rsid w:val="00922E07"/>
    <w:rsid w:val="0092729B"/>
    <w:rsid w:val="00933245"/>
    <w:rsid w:val="00935B7E"/>
    <w:rsid w:val="00945747"/>
    <w:rsid w:val="00947063"/>
    <w:rsid w:val="00956CB9"/>
    <w:rsid w:val="00964B74"/>
    <w:rsid w:val="00971363"/>
    <w:rsid w:val="00975ABB"/>
    <w:rsid w:val="00976ACF"/>
    <w:rsid w:val="009829A7"/>
    <w:rsid w:val="00990363"/>
    <w:rsid w:val="0099056F"/>
    <w:rsid w:val="00990D68"/>
    <w:rsid w:val="00996425"/>
    <w:rsid w:val="00996A94"/>
    <w:rsid w:val="009B4159"/>
    <w:rsid w:val="009C3490"/>
    <w:rsid w:val="009C658E"/>
    <w:rsid w:val="009C7C7D"/>
    <w:rsid w:val="009D1C24"/>
    <w:rsid w:val="009D56AC"/>
    <w:rsid w:val="009D6F8D"/>
    <w:rsid w:val="009E5A28"/>
    <w:rsid w:val="009E5AFD"/>
    <w:rsid w:val="009E5F10"/>
    <w:rsid w:val="009E7B7F"/>
    <w:rsid w:val="009F142D"/>
    <w:rsid w:val="00A01DD0"/>
    <w:rsid w:val="00A05FCF"/>
    <w:rsid w:val="00A104F9"/>
    <w:rsid w:val="00A1645C"/>
    <w:rsid w:val="00A16E68"/>
    <w:rsid w:val="00A213B1"/>
    <w:rsid w:val="00A348B4"/>
    <w:rsid w:val="00A359BF"/>
    <w:rsid w:val="00A40A33"/>
    <w:rsid w:val="00A411FB"/>
    <w:rsid w:val="00A41CA5"/>
    <w:rsid w:val="00A57AB4"/>
    <w:rsid w:val="00A60812"/>
    <w:rsid w:val="00A650E5"/>
    <w:rsid w:val="00A65BC2"/>
    <w:rsid w:val="00A66A1A"/>
    <w:rsid w:val="00A70C36"/>
    <w:rsid w:val="00A711EF"/>
    <w:rsid w:val="00A77506"/>
    <w:rsid w:val="00A811CD"/>
    <w:rsid w:val="00A837B8"/>
    <w:rsid w:val="00A93CC6"/>
    <w:rsid w:val="00A95FC8"/>
    <w:rsid w:val="00A97DEC"/>
    <w:rsid w:val="00AA2FEA"/>
    <w:rsid w:val="00AA3944"/>
    <w:rsid w:val="00AC6198"/>
    <w:rsid w:val="00AD1436"/>
    <w:rsid w:val="00AD61A9"/>
    <w:rsid w:val="00AE1589"/>
    <w:rsid w:val="00AE422F"/>
    <w:rsid w:val="00AE7512"/>
    <w:rsid w:val="00AF4683"/>
    <w:rsid w:val="00AF5DFA"/>
    <w:rsid w:val="00AF5FC6"/>
    <w:rsid w:val="00AF65CE"/>
    <w:rsid w:val="00B00DB0"/>
    <w:rsid w:val="00B147EF"/>
    <w:rsid w:val="00B159FF"/>
    <w:rsid w:val="00B17245"/>
    <w:rsid w:val="00B2168E"/>
    <w:rsid w:val="00B43971"/>
    <w:rsid w:val="00B466DE"/>
    <w:rsid w:val="00B67347"/>
    <w:rsid w:val="00B715A4"/>
    <w:rsid w:val="00B7201E"/>
    <w:rsid w:val="00B724A5"/>
    <w:rsid w:val="00B808B2"/>
    <w:rsid w:val="00B86EAE"/>
    <w:rsid w:val="00B91572"/>
    <w:rsid w:val="00B94EB4"/>
    <w:rsid w:val="00B96224"/>
    <w:rsid w:val="00B96F8B"/>
    <w:rsid w:val="00BB0E1F"/>
    <w:rsid w:val="00BB7F19"/>
    <w:rsid w:val="00BC7A23"/>
    <w:rsid w:val="00BD0949"/>
    <w:rsid w:val="00BD53D4"/>
    <w:rsid w:val="00BE154F"/>
    <w:rsid w:val="00C0178B"/>
    <w:rsid w:val="00C02BA4"/>
    <w:rsid w:val="00C034F4"/>
    <w:rsid w:val="00C0380A"/>
    <w:rsid w:val="00C1160B"/>
    <w:rsid w:val="00C1267B"/>
    <w:rsid w:val="00C210FB"/>
    <w:rsid w:val="00C22C2D"/>
    <w:rsid w:val="00C35137"/>
    <w:rsid w:val="00C41680"/>
    <w:rsid w:val="00C509BE"/>
    <w:rsid w:val="00C51F6C"/>
    <w:rsid w:val="00C614FC"/>
    <w:rsid w:val="00C7457B"/>
    <w:rsid w:val="00C758D6"/>
    <w:rsid w:val="00C75E90"/>
    <w:rsid w:val="00C75EA1"/>
    <w:rsid w:val="00C827AE"/>
    <w:rsid w:val="00C84786"/>
    <w:rsid w:val="00CA05EB"/>
    <w:rsid w:val="00CB1804"/>
    <w:rsid w:val="00CC2AB8"/>
    <w:rsid w:val="00CC41D9"/>
    <w:rsid w:val="00CC646A"/>
    <w:rsid w:val="00CD0C51"/>
    <w:rsid w:val="00CD11F2"/>
    <w:rsid w:val="00CD200E"/>
    <w:rsid w:val="00CE1B5C"/>
    <w:rsid w:val="00CE2A8A"/>
    <w:rsid w:val="00CE68EC"/>
    <w:rsid w:val="00CF0E12"/>
    <w:rsid w:val="00CF2184"/>
    <w:rsid w:val="00CF2F00"/>
    <w:rsid w:val="00CF4E82"/>
    <w:rsid w:val="00CF69B6"/>
    <w:rsid w:val="00D0190F"/>
    <w:rsid w:val="00D019D3"/>
    <w:rsid w:val="00D0499E"/>
    <w:rsid w:val="00D04A1B"/>
    <w:rsid w:val="00D11AED"/>
    <w:rsid w:val="00D11E09"/>
    <w:rsid w:val="00D1281E"/>
    <w:rsid w:val="00D12F82"/>
    <w:rsid w:val="00D179E6"/>
    <w:rsid w:val="00D21C8C"/>
    <w:rsid w:val="00D326B5"/>
    <w:rsid w:val="00D42736"/>
    <w:rsid w:val="00D47677"/>
    <w:rsid w:val="00D511DD"/>
    <w:rsid w:val="00D65C92"/>
    <w:rsid w:val="00D73E65"/>
    <w:rsid w:val="00D73E6F"/>
    <w:rsid w:val="00D82402"/>
    <w:rsid w:val="00D8299E"/>
    <w:rsid w:val="00D82BB0"/>
    <w:rsid w:val="00D92ABD"/>
    <w:rsid w:val="00D96416"/>
    <w:rsid w:val="00DA0650"/>
    <w:rsid w:val="00DA14F8"/>
    <w:rsid w:val="00DA6B48"/>
    <w:rsid w:val="00DB1162"/>
    <w:rsid w:val="00DB3031"/>
    <w:rsid w:val="00DC1266"/>
    <w:rsid w:val="00DC1B77"/>
    <w:rsid w:val="00DC35D9"/>
    <w:rsid w:val="00DC37B6"/>
    <w:rsid w:val="00DC77ED"/>
    <w:rsid w:val="00DD1104"/>
    <w:rsid w:val="00DE1EB9"/>
    <w:rsid w:val="00DE3D57"/>
    <w:rsid w:val="00E01450"/>
    <w:rsid w:val="00E121BF"/>
    <w:rsid w:val="00E14DC6"/>
    <w:rsid w:val="00E152DE"/>
    <w:rsid w:val="00E201CB"/>
    <w:rsid w:val="00E2626C"/>
    <w:rsid w:val="00E26A26"/>
    <w:rsid w:val="00E31EA7"/>
    <w:rsid w:val="00E61145"/>
    <w:rsid w:val="00E6656A"/>
    <w:rsid w:val="00E66A2D"/>
    <w:rsid w:val="00E67AD1"/>
    <w:rsid w:val="00E90EF3"/>
    <w:rsid w:val="00EA2594"/>
    <w:rsid w:val="00EA29CF"/>
    <w:rsid w:val="00EB229C"/>
    <w:rsid w:val="00EB2C28"/>
    <w:rsid w:val="00EB3DEF"/>
    <w:rsid w:val="00EB6EF3"/>
    <w:rsid w:val="00EC14F0"/>
    <w:rsid w:val="00EC3BB1"/>
    <w:rsid w:val="00ED12BA"/>
    <w:rsid w:val="00ED3159"/>
    <w:rsid w:val="00ED34A3"/>
    <w:rsid w:val="00ED6FB4"/>
    <w:rsid w:val="00EE33E1"/>
    <w:rsid w:val="00EE3A48"/>
    <w:rsid w:val="00EE5C30"/>
    <w:rsid w:val="00EF2013"/>
    <w:rsid w:val="00F00357"/>
    <w:rsid w:val="00F0358A"/>
    <w:rsid w:val="00F15161"/>
    <w:rsid w:val="00F2248D"/>
    <w:rsid w:val="00F233A1"/>
    <w:rsid w:val="00F25D81"/>
    <w:rsid w:val="00F33676"/>
    <w:rsid w:val="00F3669F"/>
    <w:rsid w:val="00F43AB8"/>
    <w:rsid w:val="00F60125"/>
    <w:rsid w:val="00F62580"/>
    <w:rsid w:val="00F64737"/>
    <w:rsid w:val="00F71858"/>
    <w:rsid w:val="00F71B2F"/>
    <w:rsid w:val="00F7632D"/>
    <w:rsid w:val="00F76EF8"/>
    <w:rsid w:val="00F82F92"/>
    <w:rsid w:val="00F868A7"/>
    <w:rsid w:val="00F87322"/>
    <w:rsid w:val="00F93475"/>
    <w:rsid w:val="00F97292"/>
    <w:rsid w:val="00FA04A8"/>
    <w:rsid w:val="00FA1203"/>
    <w:rsid w:val="00FA656F"/>
    <w:rsid w:val="00FA72FD"/>
    <w:rsid w:val="00FB155D"/>
    <w:rsid w:val="00FB5097"/>
    <w:rsid w:val="00FB5D1F"/>
    <w:rsid w:val="00FC3895"/>
    <w:rsid w:val="00FC6F5D"/>
    <w:rsid w:val="00FD2D1C"/>
    <w:rsid w:val="00FD6464"/>
    <w:rsid w:val="00FE1BE4"/>
    <w:rsid w:val="00FE1E86"/>
    <w:rsid w:val="00FE2AC2"/>
    <w:rsid w:val="00FE64A3"/>
    <w:rsid w:val="00FE78C4"/>
    <w:rsid w:val="26B47148"/>
    <w:rsid w:val="26DE4C95"/>
    <w:rsid w:val="2EC41942"/>
    <w:rsid w:val="520E6A84"/>
    <w:rsid w:val="52281540"/>
    <w:rsid w:val="57062A12"/>
    <w:rsid w:val="5E94225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rFonts w:eastAsia="仿宋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31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Date"/>
    <w:basedOn w:val="1"/>
    <w:next w:val="1"/>
    <w:link w:val="32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left" w:pos="365"/>
        <w:tab w:val="right" w:leader="dot" w:pos="8296"/>
      </w:tabs>
      <w:spacing w:after="100" w:line="276" w:lineRule="auto"/>
      <w:jc w:val="center"/>
    </w:pPr>
    <w:rPr>
      <w:rFonts w:asciiTheme="minorEastAsia" w:hAnsiTheme="minorEastAsia"/>
      <w:kern w:val="0"/>
      <w:sz w:val="36"/>
      <w:szCs w:val="36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/>
      <w:ind w:left="221"/>
      <w:jc w:val="left"/>
    </w:pPr>
    <w:rPr>
      <w:kern w:val="0"/>
      <w:sz w:val="22"/>
    </w:r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Char"/>
    <w:basedOn w:val="13"/>
    <w:link w:val="2"/>
    <w:qFormat/>
    <w:uiPriority w:val="0"/>
    <w:rPr>
      <w:rFonts w:eastAsia="仿宋"/>
      <w:b/>
      <w:bCs/>
      <w:kern w:val="44"/>
      <w:sz w:val="28"/>
      <w:szCs w:val="44"/>
    </w:rPr>
  </w:style>
  <w:style w:type="character" w:customStyle="1" w:styleId="17">
    <w:name w:val="标题 2 Char"/>
    <w:basedOn w:val="13"/>
    <w:link w:val="3"/>
    <w:qFormat/>
    <w:uiPriority w:val="0"/>
    <w:rPr>
      <w:rFonts w:eastAsia="仿宋" w:asciiTheme="majorHAnsi" w:hAnsiTheme="majorHAnsi" w:cstheme="majorBidi"/>
      <w:b/>
      <w:bCs/>
      <w:kern w:val="2"/>
      <w:sz w:val="28"/>
      <w:szCs w:val="32"/>
    </w:rPr>
  </w:style>
  <w:style w:type="character" w:customStyle="1" w:styleId="18">
    <w:name w:val="标题 3 Char"/>
    <w:basedOn w:val="13"/>
    <w:link w:val="4"/>
    <w:qFormat/>
    <w:uiPriority w:val="9"/>
    <w:rPr>
      <w:b/>
      <w:bCs/>
      <w:sz w:val="32"/>
      <w:szCs w:val="32"/>
    </w:rPr>
  </w:style>
  <w:style w:type="paragraph" w:customStyle="1" w:styleId="19">
    <w:name w:val="列出段落1"/>
    <w:basedOn w:val="1"/>
    <w:link w:val="20"/>
    <w:qFormat/>
    <w:uiPriority w:val="34"/>
    <w:pPr>
      <w:ind w:firstLine="420" w:firstLineChars="200"/>
    </w:pPr>
  </w:style>
  <w:style w:type="character" w:customStyle="1" w:styleId="20">
    <w:name w:val="列出段落 Char"/>
    <w:basedOn w:val="13"/>
    <w:link w:val="19"/>
    <w:qFormat/>
    <w:uiPriority w:val="34"/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  <w:style w:type="character" w:customStyle="1" w:styleId="22">
    <w:name w:val="批注框文本 Char"/>
    <w:basedOn w:val="13"/>
    <w:link w:val="8"/>
    <w:semiHidden/>
    <w:qFormat/>
    <w:uiPriority w:val="99"/>
    <w:rPr>
      <w:sz w:val="18"/>
      <w:szCs w:val="18"/>
    </w:rPr>
  </w:style>
  <w:style w:type="character" w:customStyle="1" w:styleId="23">
    <w:name w:val="页眉 Char"/>
    <w:basedOn w:val="13"/>
    <w:link w:val="10"/>
    <w:qFormat/>
    <w:uiPriority w:val="99"/>
    <w:rPr>
      <w:sz w:val="18"/>
      <w:szCs w:val="18"/>
    </w:rPr>
  </w:style>
  <w:style w:type="character" w:customStyle="1" w:styleId="24">
    <w:name w:val="页脚 Char"/>
    <w:basedOn w:val="13"/>
    <w:link w:val="9"/>
    <w:qFormat/>
    <w:uiPriority w:val="99"/>
    <w:rPr>
      <w:sz w:val="18"/>
      <w:szCs w:val="18"/>
    </w:rPr>
  </w:style>
  <w:style w:type="character" w:customStyle="1" w:styleId="25">
    <w:name w:val="mini-tree-nodetext"/>
    <w:basedOn w:val="13"/>
    <w:qFormat/>
    <w:uiPriority w:val="0"/>
  </w:style>
  <w:style w:type="paragraph" w:customStyle="1" w:styleId="26">
    <w:name w:val="说明文档"/>
    <w:basedOn w:val="19"/>
    <w:qFormat/>
    <w:uiPriority w:val="0"/>
    <w:pPr>
      <w:spacing w:line="480" w:lineRule="auto"/>
      <w:ind w:left="357" w:firstLine="0" w:firstLineChars="0"/>
      <w:jc w:val="left"/>
    </w:pPr>
    <w:rPr>
      <w:rFonts w:ascii="仿宋" w:hAnsi="仿宋" w:eastAsia="仿宋"/>
      <w:b/>
      <w:sz w:val="24"/>
      <w:szCs w:val="24"/>
    </w:rPr>
  </w:style>
  <w:style w:type="paragraph" w:customStyle="1" w:styleId="27">
    <w:name w:val="说明文档目录"/>
    <w:basedOn w:val="19"/>
    <w:link w:val="28"/>
    <w:qFormat/>
    <w:uiPriority w:val="0"/>
    <w:pPr>
      <w:spacing w:line="480" w:lineRule="auto"/>
      <w:ind w:left="360" w:firstLine="0" w:firstLineChars="0"/>
      <w:jc w:val="left"/>
    </w:pPr>
    <w:rPr>
      <w:rFonts w:ascii="仿宋" w:hAnsi="仿宋" w:eastAsia="仿宋"/>
      <w:b/>
      <w:sz w:val="24"/>
      <w:szCs w:val="24"/>
    </w:rPr>
  </w:style>
  <w:style w:type="character" w:customStyle="1" w:styleId="28">
    <w:name w:val="说明文档目录 Char"/>
    <w:basedOn w:val="20"/>
    <w:link w:val="27"/>
    <w:qFormat/>
    <w:uiPriority w:val="0"/>
    <w:rPr>
      <w:rFonts w:ascii="仿宋" w:hAnsi="仿宋" w:eastAsia="仿宋"/>
      <w:b/>
      <w:sz w:val="24"/>
      <w:szCs w:val="24"/>
    </w:rPr>
  </w:style>
  <w:style w:type="paragraph" w:customStyle="1" w:styleId="29">
    <w:name w:val="说明文档2级"/>
    <w:basedOn w:val="19"/>
    <w:link w:val="30"/>
    <w:qFormat/>
    <w:uiPriority w:val="0"/>
    <w:pPr>
      <w:spacing w:line="480" w:lineRule="auto"/>
      <w:ind w:left="360" w:firstLine="0" w:firstLineChars="0"/>
      <w:jc w:val="left"/>
    </w:pPr>
    <w:rPr>
      <w:rFonts w:ascii="仿宋" w:hAnsi="仿宋" w:eastAsia="仿宋"/>
      <w:b/>
      <w:sz w:val="24"/>
      <w:szCs w:val="24"/>
    </w:rPr>
  </w:style>
  <w:style w:type="character" w:customStyle="1" w:styleId="30">
    <w:name w:val="说明文档2级 Char"/>
    <w:basedOn w:val="20"/>
    <w:link w:val="29"/>
    <w:qFormat/>
    <w:uiPriority w:val="0"/>
    <w:rPr>
      <w:rFonts w:ascii="仿宋" w:hAnsi="仿宋" w:eastAsia="仿宋"/>
      <w:b/>
      <w:sz w:val="24"/>
      <w:szCs w:val="24"/>
    </w:rPr>
  </w:style>
  <w:style w:type="character" w:customStyle="1" w:styleId="31">
    <w:name w:val="文档结构图 Char"/>
    <w:basedOn w:val="13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32">
    <w:name w:val="日期 Char"/>
    <w:basedOn w:val="13"/>
    <w:link w:val="7"/>
    <w:semiHidden/>
    <w:qFormat/>
    <w:uiPriority w:val="99"/>
  </w:style>
  <w:style w:type="paragraph" w:customStyle="1" w:styleId="3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DE7AAC-F198-4E6A-90CF-1A4EDF8537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420</Words>
  <Characters>2394</Characters>
  <Lines>19</Lines>
  <Paragraphs>5</Paragraphs>
  <TotalTime>0</TotalTime>
  <ScaleCrop>false</ScaleCrop>
  <LinksUpToDate>false</LinksUpToDate>
  <CharactersWithSpaces>2809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2015-06-05T00:33:00Z</dcterms:created>
  <dc:creator>chendaodong</dc:creator>
  <cp:lastModifiedBy>蒋正飞</cp:lastModifiedBy>
  <dcterms:modified xsi:type="dcterms:W3CDTF">2019-01-25T01:09:35Z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